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4810" w14:textId="36ED41EC" w:rsidR="00F17913" w:rsidRPr="004448A4" w:rsidRDefault="00B66CFE" w:rsidP="00007BDD">
      <w:pPr>
        <w:pStyle w:val="Companyname"/>
      </w:pPr>
      <w:r>
        <w:t>PR19 Business Plan Presentati</w:t>
      </w:r>
      <w:bookmarkStart w:id="0" w:name="_GoBack"/>
      <w:bookmarkEnd w:id="0"/>
      <w:r>
        <w:t>on Pro-forma</w:t>
      </w:r>
      <w:r w:rsidR="004F4F55">
        <w:t xml:space="preserve"> – </w:t>
      </w:r>
      <w:r w:rsidR="00590DF1">
        <w:t>August</w:t>
      </w:r>
      <w:r w:rsidR="004F4F55">
        <w:t xml:space="preserve"> 2018 update</w:t>
      </w:r>
    </w:p>
    <w:p w14:paraId="30D26B6B" w14:textId="7BF4825D" w:rsidR="006F5ECC" w:rsidRPr="004448A4" w:rsidRDefault="7E0B751E" w:rsidP="00B66CFE">
      <w:pPr>
        <w:pStyle w:val="Heading3"/>
      </w:pPr>
      <w:r w:rsidRPr="004448A4">
        <w:t>Briefing for Ofw</w:t>
      </w:r>
      <w:r w:rsidR="00007BDD">
        <w:t xml:space="preserve">at Non-Executive Directors and senior </w:t>
      </w:r>
      <w:r w:rsidR="004E13F8">
        <w:t>leadership</w:t>
      </w:r>
    </w:p>
    <w:p w14:paraId="4802D9C4" w14:textId="77777777" w:rsidR="00ED1F45" w:rsidRDefault="007D3C6E" w:rsidP="00ED1F45">
      <w:r>
        <w:t>A</w:t>
      </w:r>
      <w:r w:rsidR="006F5ECC">
        <w:t>s indicated in our final m</w:t>
      </w:r>
      <w:r>
        <w:t xml:space="preserve">ethodology </w:t>
      </w:r>
      <w:r w:rsidR="00D11FD1">
        <w:t xml:space="preserve">for the 2019 price review (PR19) </w:t>
      </w:r>
      <w:r w:rsidR="004E0D2F">
        <w:t>published</w:t>
      </w:r>
      <w:r>
        <w:t xml:space="preserve"> in December, </w:t>
      </w:r>
      <w:r w:rsidR="006F5ECC">
        <w:t xml:space="preserve">this pro-forma </w:t>
      </w:r>
      <w:r w:rsidR="00ED1F45">
        <w:t xml:space="preserve">draws together high level information and key metrics from the business plan and explains the drivers behind the business plan, the key benefits for customers and the impact on customer bills. </w:t>
      </w:r>
    </w:p>
    <w:p w14:paraId="447E202B" w14:textId="0FB27A62" w:rsidR="00953C61" w:rsidRDefault="008C3534" w:rsidP="00ED1F45">
      <w:r>
        <w:t>The pro-forma</w:t>
      </w:r>
      <w:r w:rsidR="00ED1F45">
        <w:t xml:space="preserve"> has been developed to support discussion at</w:t>
      </w:r>
      <w:r w:rsidR="00434FA2">
        <w:t xml:space="preserve"> the</w:t>
      </w:r>
      <w:r w:rsidR="00ED1F45">
        <w:t xml:space="preserve"> PR19 business plan presentations taking place during September-October 2018</w:t>
      </w:r>
      <w:r w:rsidR="00434FA2">
        <w:t>, and to ensure a consistent approach across companies to briefing Ofwat board members for these. The pro-forma will be provided to Ofwat Board members and senior leadership ahead of these presentations.</w:t>
      </w:r>
      <w:r w:rsidR="00ED1F45">
        <w:t xml:space="preserve"> </w:t>
      </w:r>
      <w:r w:rsidR="00D56B4F">
        <w:t>These</w:t>
      </w:r>
      <w:r w:rsidR="00D56B4F" w:rsidRPr="00967C84">
        <w:t xml:space="preserve"> presentations will not form part of our initial assessment of business plans process</w:t>
      </w:r>
      <w:r w:rsidR="00D56B4F">
        <w:t>, nor are a substitute in any way for business plans</w:t>
      </w:r>
      <w:r w:rsidR="00D56B4F" w:rsidRPr="00967C84">
        <w:t>.</w:t>
      </w:r>
    </w:p>
    <w:p w14:paraId="3DD51DEA" w14:textId="4F3E0F04" w:rsidR="006F5ECC" w:rsidRDefault="004E0D2F" w:rsidP="004448A4">
      <w:r>
        <w:t xml:space="preserve">The presentations are scheduled for an hour, with a presentation of 15 minutes followed by up to 45 minutes for questions and discussion. </w:t>
      </w:r>
      <w:r w:rsidR="006F5ECC">
        <w:t>The</w:t>
      </w:r>
      <w:r w:rsidR="00055914">
        <w:t>se</w:t>
      </w:r>
      <w:r w:rsidR="006F5ECC">
        <w:t xml:space="preserve"> presentations provide an opportunity for companies to set out their business plans to Ofwat, including O</w:t>
      </w:r>
      <w:r>
        <w:t xml:space="preserve">fwat Board members. </w:t>
      </w:r>
      <w:r w:rsidRPr="00B66CFE">
        <w:rPr>
          <w:b/>
        </w:rPr>
        <w:t>We do not expect companies to use this pro-forma as the basis for the presentation itself.</w:t>
      </w:r>
      <w:r w:rsidR="00953C61">
        <w:t xml:space="preserve"> </w:t>
      </w:r>
    </w:p>
    <w:p w14:paraId="4DF56895" w14:textId="39F03A8E" w:rsidR="00967C84" w:rsidRPr="00967C84" w:rsidRDefault="00DC74B3" w:rsidP="004448A4">
      <w:r>
        <w:t>For PR19, we</w:t>
      </w:r>
      <w:r w:rsidRPr="00DC74B3">
        <w:t xml:space="preserve"> expect companies to deliver an ambitious business plan that delivers on our four key themes of innovation, great customer service, affordability and increased resilience. We are expecting companies to challenge the</w:t>
      </w:r>
      <w:r>
        <w:t>mselves in these areas, and this pro-forma and the business plan presentations provide an opportunity fo</w:t>
      </w:r>
      <w:r w:rsidR="00BD481B">
        <w:t xml:space="preserve">r companies to demonstrate how they are meeting this challenge. </w:t>
      </w:r>
    </w:p>
    <w:p w14:paraId="18EE039B" w14:textId="172E6D04" w:rsidR="004D29F4" w:rsidRDefault="004D29F4" w:rsidP="00771112">
      <w:pPr>
        <w:pStyle w:val="Heading3"/>
      </w:pPr>
      <w:r>
        <w:t>Guidance on</w:t>
      </w:r>
      <w:r w:rsidRPr="004D29F4">
        <w:t xml:space="preserve"> completing the pro-forma</w:t>
      </w:r>
    </w:p>
    <w:p w14:paraId="1910537F" w14:textId="7516FC01" w:rsidR="00104D31" w:rsidRPr="004F4CAB" w:rsidRDefault="004F4CAB" w:rsidP="004F4CAB">
      <w:r>
        <w:t>To support companies in completing this pro-forma, we have published guidance tables which include references to the relevant PR19 business plan tables to draw the information requested from. Where the information requested is not held in PR19 business plan tables, we have indicated where this should be drawn from by companies (for example</w:t>
      </w:r>
      <w:r w:rsidR="008C3534">
        <w:t xml:space="preserve">, the PR14 final determination). </w:t>
      </w:r>
      <w:r w:rsidR="0052629E">
        <w:t>The PR19 bill movement model has also been published</w:t>
      </w:r>
      <w:r w:rsidR="00104D31">
        <w:t xml:space="preserve"> in or</w:t>
      </w:r>
      <w:r w:rsidR="0052629E">
        <w:t xml:space="preserve">der to complete the bill movement waterfall </w:t>
      </w:r>
      <w:r w:rsidR="00104D31">
        <w:t xml:space="preserve">chart (table 2.1). </w:t>
      </w:r>
    </w:p>
    <w:p w14:paraId="688C2160" w14:textId="77777777" w:rsidR="007D3C6E" w:rsidRPr="004D29F4" w:rsidRDefault="007D3C6E" w:rsidP="00771112">
      <w:pPr>
        <w:pStyle w:val="Heading3"/>
      </w:pPr>
      <w:r w:rsidRPr="004D29F4">
        <w:lastRenderedPageBreak/>
        <w:t xml:space="preserve">Submission of pro-forma to Ofwat </w:t>
      </w:r>
    </w:p>
    <w:p w14:paraId="297A4618" w14:textId="49C4BEC9" w:rsidR="002231E5" w:rsidRDefault="00735D93" w:rsidP="004448A4">
      <w:r>
        <w:t>We expect companies to submit the</w:t>
      </w:r>
      <w:r w:rsidR="00131016">
        <w:t xml:space="preserve"> completed pro-forma,</w:t>
      </w:r>
      <w:r w:rsidR="00795531">
        <w:t xml:space="preserve"> guidance tables </w:t>
      </w:r>
      <w:r w:rsidR="00131016">
        <w:t xml:space="preserve">and PR19 bill movement model </w:t>
      </w:r>
      <w:r w:rsidR="007D3C6E">
        <w:t>to Ofwat along with PR19 Business Plans by</w:t>
      </w:r>
      <w:r w:rsidR="00711CC9">
        <w:t xml:space="preserve"> 5pm</w:t>
      </w:r>
      <w:r w:rsidR="007D3C6E">
        <w:t xml:space="preserve"> Monday 3 September 2018</w:t>
      </w:r>
      <w:r w:rsidR="00315813">
        <w:t>.</w:t>
      </w:r>
      <w:r w:rsidR="007D3C6E">
        <w:t xml:space="preserve"> </w:t>
      </w:r>
    </w:p>
    <w:p w14:paraId="5FAC3247" w14:textId="36E7ABB9" w:rsidR="006B3048" w:rsidRDefault="006B3048" w:rsidP="00771112">
      <w:pPr>
        <w:pStyle w:val="Heading3"/>
      </w:pPr>
      <w:r w:rsidRPr="006B3048">
        <w:t>Publication of the</w:t>
      </w:r>
      <w:r w:rsidR="00D928B7">
        <w:t xml:space="preserve"> completed</w:t>
      </w:r>
      <w:r w:rsidRPr="006B3048">
        <w:t xml:space="preserve"> pro-forma</w:t>
      </w:r>
    </w:p>
    <w:p w14:paraId="66F39782" w14:textId="70297D68" w:rsidR="004B5A05" w:rsidRDefault="004B5A05" w:rsidP="004448A4">
      <w:r>
        <w:t xml:space="preserve">As outlined in our final methodology, to improve transparency we want companies to make their business plans available to us, companies, customers, stakeholders and other regulators. We therefore expect them to publish the whole of their business plans at the same time as they submit their plans to us in September 2018. </w:t>
      </w:r>
      <w:r w:rsidR="00FF652E">
        <w:t>We ask that</w:t>
      </w:r>
      <w:r w:rsidR="006B3048">
        <w:t xml:space="preserve"> </w:t>
      </w:r>
      <w:r w:rsidR="00FF652E">
        <w:t xml:space="preserve">companies </w:t>
      </w:r>
      <w:r w:rsidR="00A937B4">
        <w:t>publish</w:t>
      </w:r>
      <w:r w:rsidR="001A2B6F">
        <w:t xml:space="preserve"> their completed pro-forma, </w:t>
      </w:r>
      <w:r w:rsidR="00795531">
        <w:t xml:space="preserve">guidance </w:t>
      </w:r>
      <w:r w:rsidR="001A2B6F">
        <w:t xml:space="preserve">tables and PR19 bill movement model </w:t>
      </w:r>
      <w:r w:rsidR="00FF652E">
        <w:t xml:space="preserve">alongside their business plans </w:t>
      </w:r>
      <w:r w:rsidR="001A2B6F">
        <w:t>as well as</w:t>
      </w:r>
      <w:r w:rsidR="007E13E2">
        <w:t xml:space="preserve"> submitting </w:t>
      </w:r>
      <w:r w:rsidR="00FF652E">
        <w:t xml:space="preserve">these to us on 3 September 2018. </w:t>
      </w:r>
    </w:p>
    <w:p w14:paraId="43E483B6" w14:textId="2A083709" w:rsidR="00FF652E" w:rsidRPr="00FF652E" w:rsidRDefault="00FF652E" w:rsidP="004448A4">
      <w:r w:rsidRPr="00FF652E">
        <w:t>If a company considers some information should not be published – because it is commercially sensitive information, for example – then the company will need to provide its stakeholders and us with strong, robust reasons that are specific to the information concerned.</w:t>
      </w:r>
    </w:p>
    <w:p w14:paraId="7F57680D" w14:textId="4081D292" w:rsidR="00454909" w:rsidRDefault="004448A4" w:rsidP="004448A4">
      <w:pPr>
        <w:pStyle w:val="Heading1"/>
      </w:pPr>
      <w:bookmarkStart w:id="1" w:name="_Toc523481597"/>
      <w:r>
        <w:lastRenderedPageBreak/>
        <w:t>Contents</w:t>
      </w:r>
      <w:bookmarkEnd w:id="1"/>
    </w:p>
    <w:p w14:paraId="5E4E65BD" w14:textId="77777777" w:rsidR="00192CB4" w:rsidRDefault="00007BDD">
      <w:pPr>
        <w:pStyle w:val="TOC1"/>
        <w:tabs>
          <w:tab w:val="righ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23481597" w:history="1">
        <w:r w:rsidR="00192CB4" w:rsidRPr="00A33D45">
          <w:rPr>
            <w:rStyle w:val="Hyperlink"/>
            <w:noProof/>
          </w:rPr>
          <w:t>Contents</w:t>
        </w:r>
        <w:r w:rsidR="00192CB4">
          <w:rPr>
            <w:noProof/>
            <w:webHidden/>
          </w:rPr>
          <w:tab/>
        </w:r>
        <w:r w:rsidR="00192CB4">
          <w:rPr>
            <w:noProof/>
            <w:webHidden/>
          </w:rPr>
          <w:fldChar w:fldCharType="begin"/>
        </w:r>
        <w:r w:rsidR="00192CB4">
          <w:rPr>
            <w:noProof/>
            <w:webHidden/>
          </w:rPr>
          <w:instrText xml:space="preserve"> PAGEREF _Toc523481597 \h </w:instrText>
        </w:r>
        <w:r w:rsidR="00192CB4">
          <w:rPr>
            <w:noProof/>
            <w:webHidden/>
          </w:rPr>
        </w:r>
        <w:r w:rsidR="00192CB4">
          <w:rPr>
            <w:noProof/>
            <w:webHidden/>
          </w:rPr>
          <w:fldChar w:fldCharType="separate"/>
        </w:r>
        <w:r w:rsidR="00192CB4">
          <w:rPr>
            <w:noProof/>
            <w:webHidden/>
          </w:rPr>
          <w:t>3</w:t>
        </w:r>
        <w:r w:rsidR="00192CB4">
          <w:rPr>
            <w:noProof/>
            <w:webHidden/>
          </w:rPr>
          <w:fldChar w:fldCharType="end"/>
        </w:r>
      </w:hyperlink>
    </w:p>
    <w:p w14:paraId="00A1F182" w14:textId="77777777" w:rsidR="00192CB4" w:rsidRDefault="007C64CE">
      <w:pPr>
        <w:pStyle w:val="TOC1"/>
        <w:tabs>
          <w:tab w:val="right" w:pos="9016"/>
        </w:tabs>
        <w:rPr>
          <w:rFonts w:asciiTheme="minorHAnsi" w:eastAsiaTheme="minorEastAsia" w:hAnsiTheme="minorHAnsi"/>
          <w:noProof/>
          <w:sz w:val="22"/>
          <w:lang w:eastAsia="en-GB"/>
        </w:rPr>
      </w:pPr>
      <w:hyperlink w:anchor="_Toc523481598" w:history="1">
        <w:r w:rsidR="00192CB4" w:rsidRPr="00A33D45">
          <w:rPr>
            <w:rStyle w:val="Hyperlink"/>
            <w:noProof/>
          </w:rPr>
          <w:t>1. Background</w:t>
        </w:r>
        <w:r w:rsidR="00192CB4">
          <w:rPr>
            <w:noProof/>
            <w:webHidden/>
          </w:rPr>
          <w:tab/>
        </w:r>
        <w:r w:rsidR="00192CB4">
          <w:rPr>
            <w:noProof/>
            <w:webHidden/>
          </w:rPr>
          <w:fldChar w:fldCharType="begin"/>
        </w:r>
        <w:r w:rsidR="00192CB4">
          <w:rPr>
            <w:noProof/>
            <w:webHidden/>
          </w:rPr>
          <w:instrText xml:space="preserve"> PAGEREF _Toc523481598 \h </w:instrText>
        </w:r>
        <w:r w:rsidR="00192CB4">
          <w:rPr>
            <w:noProof/>
            <w:webHidden/>
          </w:rPr>
        </w:r>
        <w:r w:rsidR="00192CB4">
          <w:rPr>
            <w:noProof/>
            <w:webHidden/>
          </w:rPr>
          <w:fldChar w:fldCharType="separate"/>
        </w:r>
        <w:r w:rsidR="00192CB4">
          <w:rPr>
            <w:noProof/>
            <w:webHidden/>
          </w:rPr>
          <w:t>4</w:t>
        </w:r>
        <w:r w:rsidR="00192CB4">
          <w:rPr>
            <w:noProof/>
            <w:webHidden/>
          </w:rPr>
          <w:fldChar w:fldCharType="end"/>
        </w:r>
      </w:hyperlink>
    </w:p>
    <w:p w14:paraId="5FBAC6A4" w14:textId="77777777" w:rsidR="00192CB4" w:rsidRDefault="007C64CE">
      <w:pPr>
        <w:pStyle w:val="TOC2"/>
        <w:tabs>
          <w:tab w:val="right" w:pos="9016"/>
        </w:tabs>
        <w:rPr>
          <w:rFonts w:asciiTheme="minorHAnsi" w:eastAsiaTheme="minorEastAsia" w:hAnsiTheme="minorHAnsi"/>
          <w:noProof/>
          <w:sz w:val="22"/>
          <w:lang w:eastAsia="en-GB"/>
        </w:rPr>
      </w:pPr>
      <w:hyperlink w:anchor="_Toc523481599" w:history="1">
        <w:r w:rsidR="00192CB4" w:rsidRPr="00A33D45">
          <w:rPr>
            <w:rStyle w:val="Hyperlink"/>
            <w:noProof/>
          </w:rPr>
          <w:t>1.1 Company pen pic</w:t>
        </w:r>
        <w:r w:rsidR="00192CB4">
          <w:rPr>
            <w:noProof/>
            <w:webHidden/>
          </w:rPr>
          <w:tab/>
        </w:r>
        <w:r w:rsidR="00192CB4">
          <w:rPr>
            <w:noProof/>
            <w:webHidden/>
          </w:rPr>
          <w:fldChar w:fldCharType="begin"/>
        </w:r>
        <w:r w:rsidR="00192CB4">
          <w:rPr>
            <w:noProof/>
            <w:webHidden/>
          </w:rPr>
          <w:instrText xml:space="preserve"> PAGEREF _Toc523481599 \h </w:instrText>
        </w:r>
        <w:r w:rsidR="00192CB4">
          <w:rPr>
            <w:noProof/>
            <w:webHidden/>
          </w:rPr>
        </w:r>
        <w:r w:rsidR="00192CB4">
          <w:rPr>
            <w:noProof/>
            <w:webHidden/>
          </w:rPr>
          <w:fldChar w:fldCharType="separate"/>
        </w:r>
        <w:r w:rsidR="00192CB4">
          <w:rPr>
            <w:noProof/>
            <w:webHidden/>
          </w:rPr>
          <w:t>4</w:t>
        </w:r>
        <w:r w:rsidR="00192CB4">
          <w:rPr>
            <w:noProof/>
            <w:webHidden/>
          </w:rPr>
          <w:fldChar w:fldCharType="end"/>
        </w:r>
      </w:hyperlink>
    </w:p>
    <w:p w14:paraId="1B63672F" w14:textId="77777777" w:rsidR="00192CB4" w:rsidRDefault="007C64CE">
      <w:pPr>
        <w:pStyle w:val="TOC2"/>
        <w:tabs>
          <w:tab w:val="right" w:pos="9016"/>
        </w:tabs>
        <w:rPr>
          <w:rFonts w:asciiTheme="minorHAnsi" w:eastAsiaTheme="minorEastAsia" w:hAnsiTheme="minorHAnsi"/>
          <w:noProof/>
          <w:sz w:val="22"/>
          <w:lang w:eastAsia="en-GB"/>
        </w:rPr>
      </w:pPr>
      <w:hyperlink w:anchor="_Toc523481600" w:history="1">
        <w:r w:rsidR="00192CB4" w:rsidRPr="00A33D45">
          <w:rPr>
            <w:rStyle w:val="Hyperlink"/>
            <w:noProof/>
          </w:rPr>
          <w:t>1.2 List of attendees</w:t>
        </w:r>
        <w:r w:rsidR="00192CB4">
          <w:rPr>
            <w:noProof/>
            <w:webHidden/>
          </w:rPr>
          <w:tab/>
        </w:r>
        <w:r w:rsidR="00192CB4">
          <w:rPr>
            <w:noProof/>
            <w:webHidden/>
          </w:rPr>
          <w:fldChar w:fldCharType="begin"/>
        </w:r>
        <w:r w:rsidR="00192CB4">
          <w:rPr>
            <w:noProof/>
            <w:webHidden/>
          </w:rPr>
          <w:instrText xml:space="preserve"> PAGEREF _Toc523481600 \h </w:instrText>
        </w:r>
        <w:r w:rsidR="00192CB4">
          <w:rPr>
            <w:noProof/>
            <w:webHidden/>
          </w:rPr>
        </w:r>
        <w:r w:rsidR="00192CB4">
          <w:rPr>
            <w:noProof/>
            <w:webHidden/>
          </w:rPr>
          <w:fldChar w:fldCharType="separate"/>
        </w:r>
        <w:r w:rsidR="00192CB4">
          <w:rPr>
            <w:noProof/>
            <w:webHidden/>
          </w:rPr>
          <w:t>4</w:t>
        </w:r>
        <w:r w:rsidR="00192CB4">
          <w:rPr>
            <w:noProof/>
            <w:webHidden/>
          </w:rPr>
          <w:fldChar w:fldCharType="end"/>
        </w:r>
      </w:hyperlink>
    </w:p>
    <w:p w14:paraId="4F7A40B4" w14:textId="77777777" w:rsidR="00192CB4" w:rsidRDefault="007C64CE">
      <w:pPr>
        <w:pStyle w:val="TOC1"/>
        <w:tabs>
          <w:tab w:val="right" w:pos="9016"/>
        </w:tabs>
        <w:rPr>
          <w:rFonts w:asciiTheme="minorHAnsi" w:eastAsiaTheme="minorEastAsia" w:hAnsiTheme="minorHAnsi"/>
          <w:noProof/>
          <w:sz w:val="22"/>
          <w:lang w:eastAsia="en-GB"/>
        </w:rPr>
      </w:pPr>
      <w:hyperlink w:anchor="_Toc523481601" w:history="1">
        <w:r w:rsidR="00192CB4" w:rsidRPr="00A33D45">
          <w:rPr>
            <w:rStyle w:val="Hyperlink"/>
            <w:noProof/>
          </w:rPr>
          <w:t>2. Key business plan metrics</w:t>
        </w:r>
        <w:r w:rsidR="00192CB4">
          <w:rPr>
            <w:noProof/>
            <w:webHidden/>
          </w:rPr>
          <w:tab/>
        </w:r>
        <w:r w:rsidR="00192CB4">
          <w:rPr>
            <w:noProof/>
            <w:webHidden/>
          </w:rPr>
          <w:fldChar w:fldCharType="begin"/>
        </w:r>
        <w:r w:rsidR="00192CB4">
          <w:rPr>
            <w:noProof/>
            <w:webHidden/>
          </w:rPr>
          <w:instrText xml:space="preserve"> PAGEREF _Toc523481601 \h </w:instrText>
        </w:r>
        <w:r w:rsidR="00192CB4">
          <w:rPr>
            <w:noProof/>
            <w:webHidden/>
          </w:rPr>
        </w:r>
        <w:r w:rsidR="00192CB4">
          <w:rPr>
            <w:noProof/>
            <w:webHidden/>
          </w:rPr>
          <w:fldChar w:fldCharType="separate"/>
        </w:r>
        <w:r w:rsidR="00192CB4">
          <w:rPr>
            <w:noProof/>
            <w:webHidden/>
          </w:rPr>
          <w:t>6</w:t>
        </w:r>
        <w:r w:rsidR="00192CB4">
          <w:rPr>
            <w:noProof/>
            <w:webHidden/>
          </w:rPr>
          <w:fldChar w:fldCharType="end"/>
        </w:r>
      </w:hyperlink>
    </w:p>
    <w:p w14:paraId="20110FEF" w14:textId="77777777" w:rsidR="00192CB4" w:rsidRDefault="007C64CE">
      <w:pPr>
        <w:pStyle w:val="TOC1"/>
        <w:tabs>
          <w:tab w:val="right" w:pos="9016"/>
        </w:tabs>
        <w:rPr>
          <w:rFonts w:asciiTheme="minorHAnsi" w:eastAsiaTheme="minorEastAsia" w:hAnsiTheme="minorHAnsi"/>
          <w:noProof/>
          <w:sz w:val="22"/>
          <w:lang w:eastAsia="en-GB"/>
        </w:rPr>
      </w:pPr>
      <w:hyperlink w:anchor="_Toc523481602" w:history="1">
        <w:r w:rsidR="00192CB4" w:rsidRPr="00A33D45">
          <w:rPr>
            <w:rStyle w:val="Hyperlink"/>
            <w:noProof/>
          </w:rPr>
          <w:t>3. Appendices</w:t>
        </w:r>
        <w:r w:rsidR="00192CB4">
          <w:rPr>
            <w:noProof/>
            <w:webHidden/>
          </w:rPr>
          <w:tab/>
        </w:r>
        <w:r w:rsidR="00192CB4">
          <w:rPr>
            <w:noProof/>
            <w:webHidden/>
          </w:rPr>
          <w:fldChar w:fldCharType="begin"/>
        </w:r>
        <w:r w:rsidR="00192CB4">
          <w:rPr>
            <w:noProof/>
            <w:webHidden/>
          </w:rPr>
          <w:instrText xml:space="preserve"> PAGEREF _Toc523481602 \h </w:instrText>
        </w:r>
        <w:r w:rsidR="00192CB4">
          <w:rPr>
            <w:noProof/>
            <w:webHidden/>
          </w:rPr>
        </w:r>
        <w:r w:rsidR="00192CB4">
          <w:rPr>
            <w:noProof/>
            <w:webHidden/>
          </w:rPr>
          <w:fldChar w:fldCharType="separate"/>
        </w:r>
        <w:r w:rsidR="00192CB4">
          <w:rPr>
            <w:noProof/>
            <w:webHidden/>
          </w:rPr>
          <w:t>14</w:t>
        </w:r>
        <w:r w:rsidR="00192CB4">
          <w:rPr>
            <w:noProof/>
            <w:webHidden/>
          </w:rPr>
          <w:fldChar w:fldCharType="end"/>
        </w:r>
      </w:hyperlink>
    </w:p>
    <w:p w14:paraId="499D15CC" w14:textId="77777777" w:rsidR="00192CB4" w:rsidRDefault="007C64CE">
      <w:pPr>
        <w:pStyle w:val="TOC1"/>
        <w:tabs>
          <w:tab w:val="right" w:pos="9016"/>
        </w:tabs>
        <w:rPr>
          <w:rFonts w:asciiTheme="minorHAnsi" w:eastAsiaTheme="minorEastAsia" w:hAnsiTheme="minorHAnsi"/>
          <w:noProof/>
          <w:sz w:val="22"/>
          <w:lang w:eastAsia="en-GB"/>
        </w:rPr>
      </w:pPr>
      <w:hyperlink w:anchor="_Toc523481603" w:history="1">
        <w:r w:rsidR="00192CB4" w:rsidRPr="00A33D45">
          <w:rPr>
            <w:rStyle w:val="Hyperlink"/>
            <w:noProof/>
          </w:rPr>
          <w:t>Appendix 1: Company presentation attendee biographies</w:t>
        </w:r>
        <w:r w:rsidR="00192CB4">
          <w:rPr>
            <w:noProof/>
            <w:webHidden/>
          </w:rPr>
          <w:tab/>
        </w:r>
        <w:r w:rsidR="00192CB4">
          <w:rPr>
            <w:noProof/>
            <w:webHidden/>
          </w:rPr>
          <w:fldChar w:fldCharType="begin"/>
        </w:r>
        <w:r w:rsidR="00192CB4">
          <w:rPr>
            <w:noProof/>
            <w:webHidden/>
          </w:rPr>
          <w:instrText xml:space="preserve"> PAGEREF _Toc523481603 \h </w:instrText>
        </w:r>
        <w:r w:rsidR="00192CB4">
          <w:rPr>
            <w:noProof/>
            <w:webHidden/>
          </w:rPr>
        </w:r>
        <w:r w:rsidR="00192CB4">
          <w:rPr>
            <w:noProof/>
            <w:webHidden/>
          </w:rPr>
          <w:fldChar w:fldCharType="separate"/>
        </w:r>
        <w:r w:rsidR="00192CB4">
          <w:rPr>
            <w:noProof/>
            <w:webHidden/>
          </w:rPr>
          <w:t>15</w:t>
        </w:r>
        <w:r w:rsidR="00192CB4">
          <w:rPr>
            <w:noProof/>
            <w:webHidden/>
          </w:rPr>
          <w:fldChar w:fldCharType="end"/>
        </w:r>
      </w:hyperlink>
    </w:p>
    <w:p w14:paraId="2A5A0203" w14:textId="77777777" w:rsidR="00192CB4" w:rsidRDefault="007C64CE">
      <w:pPr>
        <w:pStyle w:val="TOC1"/>
        <w:tabs>
          <w:tab w:val="right" w:pos="9016"/>
        </w:tabs>
        <w:rPr>
          <w:rFonts w:asciiTheme="minorHAnsi" w:eastAsiaTheme="minorEastAsia" w:hAnsiTheme="minorHAnsi"/>
          <w:noProof/>
          <w:sz w:val="22"/>
          <w:lang w:eastAsia="en-GB"/>
        </w:rPr>
      </w:pPr>
      <w:hyperlink w:anchor="_Toc523481604" w:history="1">
        <w:r w:rsidR="00192CB4" w:rsidRPr="00A33D45">
          <w:rPr>
            <w:rStyle w:val="Hyperlink"/>
            <w:noProof/>
          </w:rPr>
          <w:t>Appendix 2: Business plan executive summary</w:t>
        </w:r>
        <w:r w:rsidR="00192CB4">
          <w:rPr>
            <w:noProof/>
            <w:webHidden/>
          </w:rPr>
          <w:tab/>
        </w:r>
        <w:r w:rsidR="00192CB4">
          <w:rPr>
            <w:noProof/>
            <w:webHidden/>
          </w:rPr>
          <w:fldChar w:fldCharType="begin"/>
        </w:r>
        <w:r w:rsidR="00192CB4">
          <w:rPr>
            <w:noProof/>
            <w:webHidden/>
          </w:rPr>
          <w:instrText xml:space="preserve"> PAGEREF _Toc523481604 \h </w:instrText>
        </w:r>
        <w:r w:rsidR="00192CB4">
          <w:rPr>
            <w:noProof/>
            <w:webHidden/>
          </w:rPr>
        </w:r>
        <w:r w:rsidR="00192CB4">
          <w:rPr>
            <w:noProof/>
            <w:webHidden/>
          </w:rPr>
          <w:fldChar w:fldCharType="separate"/>
        </w:r>
        <w:r w:rsidR="00192CB4">
          <w:rPr>
            <w:noProof/>
            <w:webHidden/>
          </w:rPr>
          <w:t>18</w:t>
        </w:r>
        <w:r w:rsidR="00192CB4">
          <w:rPr>
            <w:noProof/>
            <w:webHidden/>
          </w:rPr>
          <w:fldChar w:fldCharType="end"/>
        </w:r>
      </w:hyperlink>
    </w:p>
    <w:p w14:paraId="5A0BEAD4" w14:textId="77777777" w:rsidR="00192CB4" w:rsidRDefault="007C64CE">
      <w:pPr>
        <w:pStyle w:val="TOC1"/>
        <w:tabs>
          <w:tab w:val="right" w:pos="9016"/>
        </w:tabs>
        <w:rPr>
          <w:rFonts w:asciiTheme="minorHAnsi" w:eastAsiaTheme="minorEastAsia" w:hAnsiTheme="minorHAnsi"/>
          <w:noProof/>
          <w:sz w:val="22"/>
          <w:lang w:eastAsia="en-GB"/>
        </w:rPr>
      </w:pPr>
      <w:hyperlink w:anchor="_Toc523481605" w:history="1">
        <w:r w:rsidR="00192CB4" w:rsidRPr="00A33D45">
          <w:rPr>
            <w:rStyle w:val="Hyperlink"/>
            <w:noProof/>
          </w:rPr>
          <w:t>Appendix 3: CCG report executive summary</w:t>
        </w:r>
        <w:r w:rsidR="00192CB4">
          <w:rPr>
            <w:noProof/>
            <w:webHidden/>
          </w:rPr>
          <w:tab/>
        </w:r>
        <w:r w:rsidR="00192CB4">
          <w:rPr>
            <w:noProof/>
            <w:webHidden/>
          </w:rPr>
          <w:fldChar w:fldCharType="begin"/>
        </w:r>
        <w:r w:rsidR="00192CB4">
          <w:rPr>
            <w:noProof/>
            <w:webHidden/>
          </w:rPr>
          <w:instrText xml:space="preserve"> PAGEREF _Toc523481605 \h </w:instrText>
        </w:r>
        <w:r w:rsidR="00192CB4">
          <w:rPr>
            <w:noProof/>
            <w:webHidden/>
          </w:rPr>
        </w:r>
        <w:r w:rsidR="00192CB4">
          <w:rPr>
            <w:noProof/>
            <w:webHidden/>
          </w:rPr>
          <w:fldChar w:fldCharType="separate"/>
        </w:r>
        <w:r w:rsidR="00192CB4">
          <w:rPr>
            <w:noProof/>
            <w:webHidden/>
          </w:rPr>
          <w:t>24</w:t>
        </w:r>
        <w:r w:rsidR="00192CB4">
          <w:rPr>
            <w:noProof/>
            <w:webHidden/>
          </w:rPr>
          <w:fldChar w:fldCharType="end"/>
        </w:r>
      </w:hyperlink>
    </w:p>
    <w:p w14:paraId="0733D237" w14:textId="77777777" w:rsidR="00192CB4" w:rsidRDefault="007C64CE">
      <w:pPr>
        <w:pStyle w:val="TOC1"/>
        <w:tabs>
          <w:tab w:val="right" w:pos="9016"/>
        </w:tabs>
        <w:rPr>
          <w:rFonts w:asciiTheme="minorHAnsi" w:eastAsiaTheme="minorEastAsia" w:hAnsiTheme="minorHAnsi"/>
          <w:noProof/>
          <w:sz w:val="22"/>
          <w:lang w:eastAsia="en-GB"/>
        </w:rPr>
      </w:pPr>
      <w:hyperlink w:anchor="_Toc523481608" w:history="1">
        <w:r w:rsidR="00192CB4" w:rsidRPr="00A33D45">
          <w:rPr>
            <w:rStyle w:val="Hyperlink"/>
            <w:noProof/>
          </w:rPr>
          <w:t>Appendix 4: Current operational performance</w:t>
        </w:r>
        <w:r w:rsidR="00192CB4">
          <w:rPr>
            <w:noProof/>
            <w:webHidden/>
          </w:rPr>
          <w:tab/>
        </w:r>
        <w:r w:rsidR="00192CB4">
          <w:rPr>
            <w:noProof/>
            <w:webHidden/>
          </w:rPr>
          <w:fldChar w:fldCharType="begin"/>
        </w:r>
        <w:r w:rsidR="00192CB4">
          <w:rPr>
            <w:noProof/>
            <w:webHidden/>
          </w:rPr>
          <w:instrText xml:space="preserve"> PAGEREF _Toc523481608 \h </w:instrText>
        </w:r>
        <w:r w:rsidR="00192CB4">
          <w:rPr>
            <w:noProof/>
            <w:webHidden/>
          </w:rPr>
        </w:r>
        <w:r w:rsidR="00192CB4">
          <w:rPr>
            <w:noProof/>
            <w:webHidden/>
          </w:rPr>
          <w:fldChar w:fldCharType="separate"/>
        </w:r>
        <w:r w:rsidR="00192CB4">
          <w:rPr>
            <w:noProof/>
            <w:webHidden/>
          </w:rPr>
          <w:t>31</w:t>
        </w:r>
        <w:r w:rsidR="00192CB4">
          <w:rPr>
            <w:noProof/>
            <w:webHidden/>
          </w:rPr>
          <w:fldChar w:fldCharType="end"/>
        </w:r>
      </w:hyperlink>
    </w:p>
    <w:p w14:paraId="6A143DA0" w14:textId="77777777" w:rsidR="00192CB4" w:rsidRDefault="007C64CE">
      <w:pPr>
        <w:pStyle w:val="TOC1"/>
        <w:tabs>
          <w:tab w:val="right" w:pos="9016"/>
        </w:tabs>
        <w:rPr>
          <w:rFonts w:asciiTheme="minorHAnsi" w:eastAsiaTheme="minorEastAsia" w:hAnsiTheme="minorHAnsi"/>
          <w:noProof/>
          <w:sz w:val="22"/>
          <w:lang w:eastAsia="en-GB"/>
        </w:rPr>
      </w:pPr>
      <w:hyperlink w:anchor="_Toc523481609" w:history="1">
        <w:r w:rsidR="00192CB4" w:rsidRPr="00A33D45">
          <w:rPr>
            <w:rStyle w:val="Hyperlink"/>
            <w:noProof/>
          </w:rPr>
          <w:t>Appendix 5: PR19 proposed performance commitments</w:t>
        </w:r>
        <w:r w:rsidR="00192CB4">
          <w:rPr>
            <w:noProof/>
            <w:webHidden/>
          </w:rPr>
          <w:tab/>
        </w:r>
        <w:r w:rsidR="00192CB4">
          <w:rPr>
            <w:noProof/>
            <w:webHidden/>
          </w:rPr>
          <w:fldChar w:fldCharType="begin"/>
        </w:r>
        <w:r w:rsidR="00192CB4">
          <w:rPr>
            <w:noProof/>
            <w:webHidden/>
          </w:rPr>
          <w:instrText xml:space="preserve"> PAGEREF _Toc523481609 \h </w:instrText>
        </w:r>
        <w:r w:rsidR="00192CB4">
          <w:rPr>
            <w:noProof/>
            <w:webHidden/>
          </w:rPr>
        </w:r>
        <w:r w:rsidR="00192CB4">
          <w:rPr>
            <w:noProof/>
            <w:webHidden/>
          </w:rPr>
          <w:fldChar w:fldCharType="separate"/>
        </w:r>
        <w:r w:rsidR="00192CB4">
          <w:rPr>
            <w:noProof/>
            <w:webHidden/>
          </w:rPr>
          <w:t>35</w:t>
        </w:r>
        <w:r w:rsidR="00192CB4">
          <w:rPr>
            <w:noProof/>
            <w:webHidden/>
          </w:rPr>
          <w:fldChar w:fldCharType="end"/>
        </w:r>
      </w:hyperlink>
    </w:p>
    <w:p w14:paraId="258D256D" w14:textId="77777777" w:rsidR="00192CB4" w:rsidRDefault="007C64CE">
      <w:pPr>
        <w:pStyle w:val="TOC1"/>
        <w:tabs>
          <w:tab w:val="right" w:pos="9016"/>
        </w:tabs>
        <w:rPr>
          <w:rFonts w:asciiTheme="minorHAnsi" w:eastAsiaTheme="minorEastAsia" w:hAnsiTheme="minorHAnsi"/>
          <w:noProof/>
          <w:sz w:val="22"/>
          <w:lang w:eastAsia="en-GB"/>
        </w:rPr>
      </w:pPr>
      <w:hyperlink w:anchor="_Toc523481610" w:history="1">
        <w:r w:rsidR="00192CB4" w:rsidRPr="00A33D45">
          <w:rPr>
            <w:rStyle w:val="Hyperlink"/>
            <w:noProof/>
          </w:rPr>
          <w:t>Appendix 6: Expenditure</w:t>
        </w:r>
        <w:r w:rsidR="00192CB4">
          <w:rPr>
            <w:noProof/>
            <w:webHidden/>
          </w:rPr>
          <w:tab/>
        </w:r>
        <w:r w:rsidR="00192CB4">
          <w:rPr>
            <w:noProof/>
            <w:webHidden/>
          </w:rPr>
          <w:fldChar w:fldCharType="begin"/>
        </w:r>
        <w:r w:rsidR="00192CB4">
          <w:rPr>
            <w:noProof/>
            <w:webHidden/>
          </w:rPr>
          <w:instrText xml:space="preserve"> PAGEREF _Toc523481610 \h </w:instrText>
        </w:r>
        <w:r w:rsidR="00192CB4">
          <w:rPr>
            <w:noProof/>
            <w:webHidden/>
          </w:rPr>
        </w:r>
        <w:r w:rsidR="00192CB4">
          <w:rPr>
            <w:noProof/>
            <w:webHidden/>
          </w:rPr>
          <w:fldChar w:fldCharType="separate"/>
        </w:r>
        <w:r w:rsidR="00192CB4">
          <w:rPr>
            <w:noProof/>
            <w:webHidden/>
          </w:rPr>
          <w:t>38</w:t>
        </w:r>
        <w:r w:rsidR="00192CB4">
          <w:rPr>
            <w:noProof/>
            <w:webHidden/>
          </w:rPr>
          <w:fldChar w:fldCharType="end"/>
        </w:r>
      </w:hyperlink>
    </w:p>
    <w:p w14:paraId="32E19B91" w14:textId="77777777" w:rsidR="00192CB4" w:rsidRDefault="007C64CE">
      <w:pPr>
        <w:pStyle w:val="TOC1"/>
        <w:tabs>
          <w:tab w:val="right" w:pos="9016"/>
        </w:tabs>
        <w:rPr>
          <w:rFonts w:asciiTheme="minorHAnsi" w:eastAsiaTheme="minorEastAsia" w:hAnsiTheme="minorHAnsi"/>
          <w:noProof/>
          <w:sz w:val="22"/>
          <w:lang w:eastAsia="en-GB"/>
        </w:rPr>
      </w:pPr>
      <w:hyperlink w:anchor="_Toc523481611" w:history="1">
        <w:r w:rsidR="00192CB4" w:rsidRPr="00A33D45">
          <w:rPr>
            <w:rStyle w:val="Hyperlink"/>
            <w:noProof/>
          </w:rPr>
          <w:t>Appendix 7: Trust, confidence and assurance</w:t>
        </w:r>
        <w:r w:rsidR="00192CB4">
          <w:rPr>
            <w:noProof/>
            <w:webHidden/>
          </w:rPr>
          <w:tab/>
        </w:r>
        <w:r w:rsidR="00192CB4">
          <w:rPr>
            <w:noProof/>
            <w:webHidden/>
          </w:rPr>
          <w:fldChar w:fldCharType="begin"/>
        </w:r>
        <w:r w:rsidR="00192CB4">
          <w:rPr>
            <w:noProof/>
            <w:webHidden/>
          </w:rPr>
          <w:instrText xml:space="preserve"> PAGEREF _Toc523481611 \h </w:instrText>
        </w:r>
        <w:r w:rsidR="00192CB4">
          <w:rPr>
            <w:noProof/>
            <w:webHidden/>
          </w:rPr>
        </w:r>
        <w:r w:rsidR="00192CB4">
          <w:rPr>
            <w:noProof/>
            <w:webHidden/>
          </w:rPr>
          <w:fldChar w:fldCharType="separate"/>
        </w:r>
        <w:r w:rsidR="00192CB4">
          <w:rPr>
            <w:noProof/>
            <w:webHidden/>
          </w:rPr>
          <w:t>39</w:t>
        </w:r>
        <w:r w:rsidR="00192CB4">
          <w:rPr>
            <w:noProof/>
            <w:webHidden/>
          </w:rPr>
          <w:fldChar w:fldCharType="end"/>
        </w:r>
      </w:hyperlink>
    </w:p>
    <w:p w14:paraId="377D2F1B" w14:textId="1B30006D" w:rsidR="007F3EBC" w:rsidRPr="003253D7" w:rsidRDefault="00007BDD" w:rsidP="00007BDD">
      <w:pPr>
        <w:rPr>
          <w:rStyle w:val="Strong"/>
          <w:rFonts w:eastAsiaTheme="majorEastAsia" w:cstheme="majorBidi"/>
          <w:color w:val="005996" w:themeColor="accent1" w:themeShade="BF"/>
          <w:sz w:val="32"/>
          <w:szCs w:val="32"/>
          <w:lang w:val="en-US"/>
        </w:rPr>
      </w:pPr>
      <w:r>
        <w:fldChar w:fldCharType="end"/>
      </w:r>
    </w:p>
    <w:p w14:paraId="3FC7F893" w14:textId="3D157A08" w:rsidR="004B5A05" w:rsidRPr="00F45E79" w:rsidRDefault="006B3048" w:rsidP="004B5A05">
      <w:pPr>
        <w:pStyle w:val="Heading1"/>
        <w:rPr>
          <w:rStyle w:val="Strong"/>
          <w:sz w:val="36"/>
          <w:szCs w:val="36"/>
        </w:rPr>
      </w:pPr>
      <w:bookmarkStart w:id="2" w:name="_Toc523481598"/>
      <w:bookmarkStart w:id="3" w:name="_Toc510692479"/>
      <w:r>
        <w:lastRenderedPageBreak/>
        <w:t>1</w:t>
      </w:r>
      <w:r w:rsidR="7E0B751E" w:rsidRPr="00DC1C53">
        <w:t>.</w:t>
      </w:r>
      <w:r w:rsidR="004B5A05" w:rsidRPr="4E03F48D">
        <w:rPr>
          <w:rStyle w:val="Strong"/>
          <w:sz w:val="36"/>
          <w:szCs w:val="36"/>
        </w:rPr>
        <w:t xml:space="preserve"> </w:t>
      </w:r>
      <w:r w:rsidR="004B5A05" w:rsidRPr="004B5A05">
        <w:t>Background</w:t>
      </w:r>
      <w:bookmarkEnd w:id="2"/>
      <w:r w:rsidR="004B5A05" w:rsidRPr="004B5A05">
        <w:t xml:space="preserve"> </w:t>
      </w:r>
    </w:p>
    <w:p w14:paraId="7597FA5A" w14:textId="77777777" w:rsidR="004B5A05" w:rsidRPr="00F45E79" w:rsidRDefault="004B5A05" w:rsidP="004B5A05">
      <w:pPr>
        <w:pStyle w:val="Heading2"/>
        <w:rPr>
          <w:rStyle w:val="Strong"/>
          <w:sz w:val="32"/>
        </w:rPr>
      </w:pPr>
      <w:bookmarkStart w:id="4" w:name="_Toc510692477"/>
      <w:bookmarkStart w:id="5" w:name="_Toc523481599"/>
      <w:r w:rsidRPr="00F45E79">
        <w:rPr>
          <w:rStyle w:val="Strong"/>
          <w:sz w:val="32"/>
        </w:rPr>
        <w:t>1.1 Company pen pic</w:t>
      </w:r>
      <w:bookmarkEnd w:id="4"/>
      <w:bookmarkEnd w:id="5"/>
      <w:r w:rsidRPr="00F45E79">
        <w:rPr>
          <w:rStyle w:val="Strong"/>
          <w:sz w:val="32"/>
        </w:rPr>
        <w:tab/>
      </w:r>
    </w:p>
    <w:p w14:paraId="7E6BA042" w14:textId="77777777" w:rsidR="00D6347A" w:rsidRDefault="00D55750"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SES Water</w:t>
      </w:r>
      <w:r w:rsidR="004B5A05" w:rsidRPr="004E411A">
        <w:rPr>
          <w:rStyle w:val="Strong"/>
          <w:rFonts w:asciiTheme="minorHAnsi" w:hAnsiTheme="minorHAnsi" w:cstheme="minorHAnsi"/>
          <w:color w:val="auto"/>
          <w:szCs w:val="24"/>
        </w:rPr>
        <w:t xml:space="preserve"> is a </w:t>
      </w:r>
      <w:r>
        <w:rPr>
          <w:rStyle w:val="Strong"/>
          <w:rFonts w:asciiTheme="minorHAnsi" w:hAnsiTheme="minorHAnsi" w:cstheme="minorHAnsi"/>
          <w:color w:val="auto"/>
          <w:szCs w:val="24"/>
        </w:rPr>
        <w:t>water only</w:t>
      </w:r>
      <w:r w:rsidR="004B5A05" w:rsidRPr="004E411A">
        <w:rPr>
          <w:rStyle w:val="Strong"/>
          <w:rFonts w:asciiTheme="minorHAnsi" w:hAnsiTheme="minorHAnsi" w:cstheme="minorHAnsi"/>
          <w:color w:val="auto"/>
          <w:szCs w:val="24"/>
        </w:rPr>
        <w:t xml:space="preserve"> company located in </w:t>
      </w:r>
      <w:r>
        <w:rPr>
          <w:rStyle w:val="Strong"/>
          <w:rFonts w:asciiTheme="minorHAnsi" w:hAnsiTheme="minorHAnsi" w:cstheme="minorHAnsi"/>
          <w:color w:val="auto"/>
          <w:szCs w:val="24"/>
        </w:rPr>
        <w:t>the South of England</w:t>
      </w:r>
      <w:r w:rsidR="004B5A05" w:rsidRPr="004E411A">
        <w:rPr>
          <w:rStyle w:val="Strong"/>
          <w:rFonts w:asciiTheme="minorHAnsi" w:hAnsiTheme="minorHAnsi" w:cstheme="minorHAnsi"/>
          <w:color w:val="auto"/>
          <w:szCs w:val="24"/>
        </w:rPr>
        <w:t xml:space="preserve">. </w:t>
      </w:r>
      <w:r>
        <w:rPr>
          <w:rStyle w:val="Strong"/>
          <w:rFonts w:asciiTheme="minorHAnsi" w:hAnsiTheme="minorHAnsi" w:cstheme="minorHAnsi"/>
          <w:color w:val="auto"/>
          <w:szCs w:val="24"/>
        </w:rPr>
        <w:t xml:space="preserve">It serves </w:t>
      </w:r>
      <w:r w:rsidR="002B5149">
        <w:rPr>
          <w:rStyle w:val="Strong"/>
          <w:rFonts w:asciiTheme="minorHAnsi" w:hAnsiTheme="minorHAnsi" w:cstheme="minorHAnsi"/>
          <w:color w:val="auto"/>
          <w:szCs w:val="24"/>
        </w:rPr>
        <w:t>707,000 people in east Surrey and parts of W</w:t>
      </w:r>
      <w:r w:rsidR="008F6DC6">
        <w:rPr>
          <w:rStyle w:val="Strong"/>
          <w:rFonts w:asciiTheme="minorHAnsi" w:hAnsiTheme="minorHAnsi" w:cstheme="minorHAnsi"/>
          <w:color w:val="auto"/>
          <w:szCs w:val="24"/>
        </w:rPr>
        <w:t>es</w:t>
      </w:r>
      <w:r w:rsidR="002B5149">
        <w:rPr>
          <w:rStyle w:val="Strong"/>
          <w:rFonts w:asciiTheme="minorHAnsi" w:hAnsiTheme="minorHAnsi" w:cstheme="minorHAnsi"/>
          <w:color w:val="auto"/>
          <w:szCs w:val="24"/>
        </w:rPr>
        <w:t>t Sussex, west Kent and south London</w:t>
      </w:r>
      <w:r>
        <w:rPr>
          <w:rStyle w:val="Strong"/>
          <w:rFonts w:asciiTheme="minorHAnsi" w:hAnsiTheme="minorHAnsi" w:cstheme="minorHAnsi"/>
          <w:color w:val="auto"/>
          <w:szCs w:val="24"/>
        </w:rPr>
        <w:t>.</w:t>
      </w:r>
    </w:p>
    <w:p w14:paraId="50EA32E8" w14:textId="284AB0FB" w:rsidR="002B5149" w:rsidRDefault="002B5149"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 xml:space="preserve">The Company is jointly owned by the major Japanese businesses, Sumitomo Corporation and Osaka Gas. Each has a 50 per sent stake in the UK-based holding company Sumisho Osaka Gas Water UK Ltd. </w:t>
      </w:r>
      <w:r w:rsidR="008F6DC6">
        <w:rPr>
          <w:rStyle w:val="Strong"/>
          <w:rFonts w:asciiTheme="minorHAnsi" w:hAnsiTheme="minorHAnsi" w:cstheme="minorHAnsi"/>
          <w:color w:val="auto"/>
          <w:szCs w:val="24"/>
        </w:rPr>
        <w:t>Th</w:t>
      </w:r>
      <w:r w:rsidR="00332BD4">
        <w:rPr>
          <w:rStyle w:val="Strong"/>
          <w:rFonts w:asciiTheme="minorHAnsi" w:hAnsiTheme="minorHAnsi" w:cstheme="minorHAnsi"/>
          <w:color w:val="auto"/>
          <w:szCs w:val="24"/>
        </w:rPr>
        <w:t>is</w:t>
      </w:r>
      <w:r w:rsidR="00353BD2">
        <w:rPr>
          <w:rStyle w:val="Strong"/>
          <w:rFonts w:asciiTheme="minorHAnsi" w:hAnsiTheme="minorHAnsi" w:cstheme="minorHAnsi"/>
          <w:color w:val="auto"/>
          <w:szCs w:val="24"/>
        </w:rPr>
        <w:t xml:space="preserve"> </w:t>
      </w:r>
      <w:r w:rsidR="008F6DC6">
        <w:rPr>
          <w:rStyle w:val="Strong"/>
          <w:rFonts w:asciiTheme="minorHAnsi" w:hAnsiTheme="minorHAnsi" w:cstheme="minorHAnsi"/>
          <w:color w:val="auto"/>
          <w:szCs w:val="24"/>
        </w:rPr>
        <w:t>company</w:t>
      </w:r>
      <w:r>
        <w:rPr>
          <w:rStyle w:val="Strong"/>
          <w:rFonts w:asciiTheme="minorHAnsi" w:hAnsiTheme="minorHAnsi" w:cstheme="minorHAnsi"/>
          <w:color w:val="auto"/>
          <w:szCs w:val="24"/>
        </w:rPr>
        <w:t xml:space="preserve"> </w:t>
      </w:r>
      <w:r w:rsidRPr="002B5149">
        <w:rPr>
          <w:rStyle w:val="Strong"/>
          <w:rFonts w:asciiTheme="minorHAnsi" w:hAnsiTheme="minorHAnsi" w:cstheme="minorHAnsi"/>
          <w:color w:val="auto"/>
          <w:szCs w:val="24"/>
        </w:rPr>
        <w:t>was es</w:t>
      </w:r>
      <w:r>
        <w:rPr>
          <w:rStyle w:val="Strong"/>
          <w:rFonts w:asciiTheme="minorHAnsi" w:hAnsiTheme="minorHAnsi" w:cstheme="minorHAnsi"/>
          <w:color w:val="auto"/>
          <w:szCs w:val="24"/>
        </w:rPr>
        <w:t xml:space="preserve">tablished at the time Osaka Gas </w:t>
      </w:r>
      <w:r w:rsidRPr="002B5149">
        <w:rPr>
          <w:rStyle w:val="Strong"/>
          <w:rFonts w:asciiTheme="minorHAnsi" w:hAnsiTheme="minorHAnsi" w:cstheme="minorHAnsi"/>
          <w:color w:val="auto"/>
          <w:szCs w:val="24"/>
        </w:rPr>
        <w:t>becam</w:t>
      </w:r>
      <w:r>
        <w:rPr>
          <w:rStyle w:val="Strong"/>
          <w:rFonts w:asciiTheme="minorHAnsi" w:hAnsiTheme="minorHAnsi" w:cstheme="minorHAnsi"/>
          <w:color w:val="auto"/>
          <w:szCs w:val="24"/>
        </w:rPr>
        <w:t xml:space="preserve">e a shareholder to enable joint </w:t>
      </w:r>
      <w:r w:rsidRPr="002B5149">
        <w:rPr>
          <w:rStyle w:val="Strong"/>
          <w:rFonts w:asciiTheme="minorHAnsi" w:hAnsiTheme="minorHAnsi" w:cstheme="minorHAnsi"/>
          <w:color w:val="auto"/>
          <w:szCs w:val="24"/>
        </w:rPr>
        <w:t>owners</w:t>
      </w:r>
      <w:r>
        <w:rPr>
          <w:rStyle w:val="Strong"/>
          <w:rFonts w:asciiTheme="minorHAnsi" w:hAnsiTheme="minorHAnsi" w:cstheme="minorHAnsi"/>
          <w:color w:val="auto"/>
          <w:szCs w:val="24"/>
        </w:rPr>
        <w:t>hip of the East Surrey Holdings G</w:t>
      </w:r>
      <w:r w:rsidRPr="002B5149">
        <w:rPr>
          <w:rStyle w:val="Strong"/>
          <w:rFonts w:asciiTheme="minorHAnsi" w:hAnsiTheme="minorHAnsi" w:cstheme="minorHAnsi"/>
          <w:color w:val="auto"/>
          <w:szCs w:val="24"/>
        </w:rPr>
        <w:t>r</w:t>
      </w:r>
      <w:r>
        <w:rPr>
          <w:rStyle w:val="Strong"/>
          <w:rFonts w:asciiTheme="minorHAnsi" w:hAnsiTheme="minorHAnsi" w:cstheme="minorHAnsi"/>
          <w:color w:val="auto"/>
          <w:szCs w:val="24"/>
        </w:rPr>
        <w:t xml:space="preserve">oup and is entirely financed by </w:t>
      </w:r>
      <w:r w:rsidR="008F6DC6">
        <w:rPr>
          <w:rStyle w:val="Strong"/>
          <w:rFonts w:asciiTheme="minorHAnsi" w:hAnsiTheme="minorHAnsi" w:cstheme="minorHAnsi"/>
          <w:color w:val="auto"/>
          <w:szCs w:val="24"/>
        </w:rPr>
        <w:t>shareholder</w:t>
      </w:r>
      <w:r w:rsidRPr="002B5149">
        <w:rPr>
          <w:rStyle w:val="Strong"/>
          <w:rFonts w:asciiTheme="minorHAnsi" w:hAnsiTheme="minorHAnsi" w:cstheme="minorHAnsi"/>
          <w:color w:val="auto"/>
          <w:szCs w:val="24"/>
        </w:rPr>
        <w:t xml:space="preserve"> equity.</w:t>
      </w:r>
      <w:r>
        <w:rPr>
          <w:rStyle w:val="Strong"/>
          <w:rFonts w:asciiTheme="minorHAnsi" w:hAnsiTheme="minorHAnsi" w:cstheme="minorHAnsi"/>
          <w:color w:val="auto"/>
          <w:szCs w:val="24"/>
        </w:rPr>
        <w:t xml:space="preserve"> </w:t>
      </w:r>
    </w:p>
    <w:p w14:paraId="1FAD5F94" w14:textId="43AFDB14" w:rsidR="002B5149" w:rsidRDefault="002B5149"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E</w:t>
      </w:r>
      <w:r w:rsidRPr="002B5149">
        <w:rPr>
          <w:rStyle w:val="Strong"/>
          <w:rFonts w:asciiTheme="minorHAnsi" w:hAnsiTheme="minorHAnsi" w:cstheme="minorHAnsi"/>
          <w:color w:val="auto"/>
          <w:szCs w:val="24"/>
        </w:rPr>
        <w:t>ast Surrey Holdings Ltd is the hol</w:t>
      </w:r>
      <w:r>
        <w:rPr>
          <w:rStyle w:val="Strong"/>
          <w:rFonts w:asciiTheme="minorHAnsi" w:hAnsiTheme="minorHAnsi" w:cstheme="minorHAnsi"/>
          <w:color w:val="auto"/>
          <w:szCs w:val="24"/>
        </w:rPr>
        <w:t xml:space="preserve">ding </w:t>
      </w:r>
      <w:r w:rsidRPr="002B5149">
        <w:rPr>
          <w:rStyle w:val="Strong"/>
          <w:rFonts w:asciiTheme="minorHAnsi" w:hAnsiTheme="minorHAnsi" w:cstheme="minorHAnsi"/>
          <w:color w:val="auto"/>
          <w:szCs w:val="24"/>
        </w:rPr>
        <w:t>compa</w:t>
      </w:r>
      <w:r>
        <w:rPr>
          <w:rStyle w:val="Strong"/>
          <w:rFonts w:asciiTheme="minorHAnsi" w:hAnsiTheme="minorHAnsi" w:cstheme="minorHAnsi"/>
          <w:color w:val="auto"/>
          <w:szCs w:val="24"/>
        </w:rPr>
        <w:t xml:space="preserve">ny for the trading companies of </w:t>
      </w:r>
      <w:r w:rsidRPr="002B5149">
        <w:rPr>
          <w:rStyle w:val="Strong"/>
          <w:rFonts w:asciiTheme="minorHAnsi" w:hAnsiTheme="minorHAnsi" w:cstheme="minorHAnsi"/>
          <w:color w:val="auto"/>
          <w:szCs w:val="24"/>
        </w:rPr>
        <w:t>the Gr</w:t>
      </w:r>
      <w:r>
        <w:rPr>
          <w:rStyle w:val="Strong"/>
          <w:rFonts w:asciiTheme="minorHAnsi" w:hAnsiTheme="minorHAnsi" w:cstheme="minorHAnsi"/>
          <w:color w:val="auto"/>
          <w:szCs w:val="24"/>
        </w:rPr>
        <w:t>oup and was the entity acquired by Sumitomo in February 2013. There have been no further changes in ownership since this time.</w:t>
      </w:r>
    </w:p>
    <w:p w14:paraId="607C24CE" w14:textId="362F3FEB" w:rsidR="002B5149" w:rsidRPr="002B5149" w:rsidRDefault="002B5149" w:rsidP="002B5149">
      <w:pPr>
        <w:rPr>
          <w:rStyle w:val="Strong"/>
          <w:rFonts w:asciiTheme="minorHAnsi" w:hAnsiTheme="minorHAnsi" w:cstheme="minorHAnsi"/>
          <w:color w:val="auto"/>
          <w:szCs w:val="24"/>
        </w:rPr>
      </w:pPr>
      <w:r>
        <w:rPr>
          <w:rStyle w:val="Strong"/>
          <w:rFonts w:asciiTheme="minorHAnsi" w:hAnsiTheme="minorHAnsi" w:cstheme="minorHAnsi"/>
          <w:color w:val="auto"/>
          <w:szCs w:val="24"/>
        </w:rPr>
        <w:t xml:space="preserve">Our immediate parent company is SESW Holding Company Limited, </w:t>
      </w:r>
      <w:r w:rsidRPr="002B5149">
        <w:rPr>
          <w:rStyle w:val="Strong"/>
          <w:rFonts w:asciiTheme="minorHAnsi" w:hAnsiTheme="minorHAnsi" w:cstheme="minorHAnsi"/>
          <w:color w:val="auto"/>
          <w:szCs w:val="24"/>
        </w:rPr>
        <w:t>e</w:t>
      </w:r>
      <w:r>
        <w:rPr>
          <w:rStyle w:val="Strong"/>
          <w:rFonts w:asciiTheme="minorHAnsi" w:hAnsiTheme="minorHAnsi" w:cstheme="minorHAnsi"/>
          <w:color w:val="auto"/>
          <w:szCs w:val="24"/>
        </w:rPr>
        <w:t xml:space="preserve">stablished at the time that the </w:t>
      </w:r>
      <w:r w:rsidRPr="002B5149">
        <w:rPr>
          <w:rStyle w:val="Strong"/>
          <w:rFonts w:asciiTheme="minorHAnsi" w:hAnsiTheme="minorHAnsi" w:cstheme="minorHAnsi"/>
          <w:color w:val="auto"/>
          <w:szCs w:val="24"/>
        </w:rPr>
        <w:t>Company’</w:t>
      </w:r>
      <w:r>
        <w:rPr>
          <w:rStyle w:val="Strong"/>
          <w:rFonts w:asciiTheme="minorHAnsi" w:hAnsiTheme="minorHAnsi" w:cstheme="minorHAnsi"/>
          <w:color w:val="auto"/>
          <w:szCs w:val="24"/>
        </w:rPr>
        <w:t xml:space="preserve">s £100 million index-linked </w:t>
      </w:r>
      <w:r w:rsidRPr="002B5149">
        <w:rPr>
          <w:rStyle w:val="Strong"/>
          <w:rFonts w:asciiTheme="minorHAnsi" w:hAnsiTheme="minorHAnsi" w:cstheme="minorHAnsi"/>
          <w:color w:val="auto"/>
          <w:szCs w:val="24"/>
        </w:rPr>
        <w:t>bond was issued</w:t>
      </w:r>
      <w:r>
        <w:rPr>
          <w:rStyle w:val="Strong"/>
          <w:rFonts w:asciiTheme="minorHAnsi" w:hAnsiTheme="minorHAnsi" w:cstheme="minorHAnsi"/>
          <w:color w:val="auto"/>
          <w:szCs w:val="24"/>
        </w:rPr>
        <w:t xml:space="preserve"> in March 2001 to </w:t>
      </w:r>
      <w:r w:rsidRPr="002B5149">
        <w:rPr>
          <w:rStyle w:val="Strong"/>
          <w:rFonts w:asciiTheme="minorHAnsi" w:hAnsiTheme="minorHAnsi" w:cstheme="minorHAnsi"/>
          <w:color w:val="auto"/>
          <w:szCs w:val="24"/>
        </w:rPr>
        <w:t>protec</w:t>
      </w:r>
      <w:r>
        <w:rPr>
          <w:rStyle w:val="Strong"/>
          <w:rFonts w:asciiTheme="minorHAnsi" w:hAnsiTheme="minorHAnsi" w:cstheme="minorHAnsi"/>
          <w:color w:val="auto"/>
          <w:szCs w:val="24"/>
        </w:rPr>
        <w:t xml:space="preserve">t the interests of bond holders </w:t>
      </w:r>
      <w:r w:rsidRPr="002B5149">
        <w:rPr>
          <w:rStyle w:val="Strong"/>
          <w:rFonts w:asciiTheme="minorHAnsi" w:hAnsiTheme="minorHAnsi" w:cstheme="minorHAnsi"/>
          <w:color w:val="auto"/>
          <w:szCs w:val="24"/>
        </w:rPr>
        <w:t>by</w:t>
      </w:r>
      <w:r w:rsidR="00332BD4">
        <w:rPr>
          <w:rStyle w:val="Strong"/>
          <w:rFonts w:asciiTheme="minorHAnsi" w:hAnsiTheme="minorHAnsi" w:cstheme="minorHAnsi"/>
          <w:color w:val="auto"/>
          <w:szCs w:val="24"/>
        </w:rPr>
        <w:t xml:space="preserve">, among other things, </w:t>
      </w:r>
      <w:r w:rsidRPr="002B5149">
        <w:rPr>
          <w:rStyle w:val="Strong"/>
          <w:rFonts w:asciiTheme="minorHAnsi" w:hAnsiTheme="minorHAnsi" w:cstheme="minorHAnsi"/>
          <w:color w:val="auto"/>
          <w:szCs w:val="24"/>
        </w:rPr>
        <w:t xml:space="preserve"> exercis</w:t>
      </w:r>
      <w:r>
        <w:rPr>
          <w:rStyle w:val="Strong"/>
          <w:rFonts w:asciiTheme="minorHAnsi" w:hAnsiTheme="minorHAnsi" w:cstheme="minorHAnsi"/>
          <w:color w:val="auto"/>
          <w:szCs w:val="24"/>
        </w:rPr>
        <w:t>ing control over distributions.</w:t>
      </w:r>
      <w:bookmarkStart w:id="6" w:name="_Toc510692478"/>
    </w:p>
    <w:p w14:paraId="6AAF2AFD" w14:textId="09CCC24F" w:rsidR="004B5A05" w:rsidRPr="00F45E79" w:rsidRDefault="004B5A05" w:rsidP="004B5A05">
      <w:pPr>
        <w:pStyle w:val="Heading2"/>
        <w:rPr>
          <w:rStyle w:val="Strong"/>
          <w:sz w:val="32"/>
        </w:rPr>
      </w:pPr>
      <w:bookmarkStart w:id="7" w:name="_Toc523481600"/>
      <w:r w:rsidRPr="00F45E79">
        <w:rPr>
          <w:rStyle w:val="Strong"/>
          <w:sz w:val="32"/>
        </w:rPr>
        <w:t xml:space="preserve">1.2 List of </w:t>
      </w:r>
      <w:r w:rsidR="004448A4">
        <w:rPr>
          <w:rStyle w:val="Strong"/>
          <w:sz w:val="32"/>
        </w:rPr>
        <w:t>a</w:t>
      </w:r>
      <w:r w:rsidRPr="00F45E79">
        <w:rPr>
          <w:rStyle w:val="Strong"/>
          <w:sz w:val="32"/>
        </w:rPr>
        <w:t>ttendees</w:t>
      </w:r>
      <w:bookmarkEnd w:id="6"/>
      <w:bookmarkEnd w:id="7"/>
    </w:p>
    <w:p w14:paraId="70F8B0B9" w14:textId="77777777" w:rsidR="0048567A" w:rsidRDefault="0048567A"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In attendance on 24 September will be:</w:t>
      </w:r>
    </w:p>
    <w:p w14:paraId="6F6DF5D9" w14:textId="0FA09435"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Jeremy Pelczer: Chairman</w:t>
      </w:r>
    </w:p>
    <w:p w14:paraId="69FDA6FF" w14:textId="237A6E80"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Anthony Ferrar: Managing Director</w:t>
      </w:r>
    </w:p>
    <w:p w14:paraId="7ADA4AF4" w14:textId="284E77F3"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Paul Kerr: Finance and Regulation Director</w:t>
      </w:r>
    </w:p>
    <w:p w14:paraId="02F912AF" w14:textId="49D380A6"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John Chadwick: Regulation Director</w:t>
      </w:r>
    </w:p>
    <w:p w14:paraId="5E93092A" w14:textId="0E3A34FE"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Joanna Campbell: Economic Regulation Manager</w:t>
      </w:r>
    </w:p>
    <w:p w14:paraId="685B362C" w14:textId="474730F0"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Tom Kelly: Wholesale Services Director</w:t>
      </w:r>
    </w:p>
    <w:p w14:paraId="1D9A65FC" w14:textId="1B0A8282" w:rsidR="008F6DC6" w:rsidRDefault="008F6DC6" w:rsidP="004448A4">
      <w:pPr>
        <w:rPr>
          <w:rStyle w:val="Strong"/>
          <w:rFonts w:asciiTheme="minorHAnsi" w:hAnsiTheme="minorHAnsi" w:cstheme="minorHAnsi"/>
          <w:color w:val="auto"/>
          <w:szCs w:val="24"/>
        </w:rPr>
      </w:pPr>
      <w:r>
        <w:rPr>
          <w:rStyle w:val="Strong"/>
          <w:rFonts w:asciiTheme="minorHAnsi" w:hAnsiTheme="minorHAnsi" w:cstheme="minorHAnsi"/>
          <w:color w:val="auto"/>
          <w:szCs w:val="24"/>
        </w:rPr>
        <w:t>Graham Hanson: Independent Chair of the Customer Scrutiny Panel</w:t>
      </w:r>
    </w:p>
    <w:p w14:paraId="58A94DF8" w14:textId="0248CC44" w:rsidR="00CD5368" w:rsidRPr="00DC1C53" w:rsidRDefault="004B5A05" w:rsidP="00DC1C53">
      <w:pPr>
        <w:pStyle w:val="Heading1"/>
      </w:pPr>
      <w:bookmarkStart w:id="8" w:name="_Toc523481601"/>
      <w:r>
        <w:lastRenderedPageBreak/>
        <w:t xml:space="preserve">2. </w:t>
      </w:r>
      <w:r w:rsidR="7E0B751E">
        <w:t xml:space="preserve">Key </w:t>
      </w:r>
      <w:r w:rsidR="00DC1C53">
        <w:t>business p</w:t>
      </w:r>
      <w:r w:rsidR="7E0B751E" w:rsidRPr="00DC1C53">
        <w:t>lan metrics</w:t>
      </w:r>
      <w:bookmarkEnd w:id="3"/>
      <w:bookmarkEnd w:id="8"/>
    </w:p>
    <w:p w14:paraId="037C3AF9" w14:textId="5D863768" w:rsidR="00315813" w:rsidRPr="00B66CFE" w:rsidRDefault="00315813" w:rsidP="00B66CFE">
      <w:pPr>
        <w:pStyle w:val="Tableheading"/>
      </w:pPr>
      <w:r w:rsidRPr="00B66CFE">
        <w:t>PR19 key themes</w:t>
      </w:r>
    </w:p>
    <w:p w14:paraId="612666F0" w14:textId="5E66CFF5" w:rsidR="00E10304" w:rsidRPr="00E10304" w:rsidRDefault="00E10304" w:rsidP="00E10304">
      <w:pPr>
        <w:spacing w:before="160" w:after="160"/>
        <w:jc w:val="both"/>
        <w:rPr>
          <w:rFonts w:eastAsia="Arial" w:cs="Arial"/>
          <w:szCs w:val="24"/>
        </w:rPr>
      </w:pPr>
      <w:r w:rsidRPr="00E10304">
        <w:rPr>
          <w:rFonts w:eastAsia="Arial" w:cs="Arial"/>
          <w:szCs w:val="24"/>
        </w:rPr>
        <w:t xml:space="preserve">At the core of our business plan are four key themes – resilience, customer service, affordability and innovation. These themes not only underpin the PR19 Methodology but are </w:t>
      </w:r>
      <w:r w:rsidR="00332BD4">
        <w:rPr>
          <w:rFonts w:eastAsia="Arial" w:cs="Arial"/>
          <w:szCs w:val="24"/>
        </w:rPr>
        <w:t xml:space="preserve">embraced by our Board as </w:t>
      </w:r>
      <w:r w:rsidRPr="00E10304">
        <w:rPr>
          <w:rFonts w:eastAsia="Arial" w:cs="Arial"/>
          <w:szCs w:val="24"/>
        </w:rPr>
        <w:t>vital in delivering what matters most to our customers and ensuring that we continue to thrive as a business.</w:t>
      </w:r>
    </w:p>
    <w:p w14:paraId="3DC06FE1" w14:textId="35FC11FC" w:rsidR="00743307" w:rsidRPr="00743307" w:rsidRDefault="00E10304" w:rsidP="00743307">
      <w:pPr>
        <w:jc w:val="both"/>
        <w:rPr>
          <w:rFonts w:eastAsia="Arial" w:cs="Arial"/>
          <w:szCs w:val="24"/>
        </w:rPr>
      </w:pPr>
      <w:r w:rsidRPr="00E10304">
        <w:rPr>
          <w:rFonts w:eastAsia="Arial" w:cs="Arial"/>
          <w:szCs w:val="24"/>
        </w:rPr>
        <w:t xml:space="preserve">So pivotal are the four themes to our plan that our independent non-executive directors and chairman are championing them and </w:t>
      </w:r>
      <w:r>
        <w:rPr>
          <w:rFonts w:eastAsia="Arial" w:cs="Arial"/>
          <w:szCs w:val="24"/>
        </w:rPr>
        <w:t xml:space="preserve">at the start of our plan </w:t>
      </w:r>
      <w:r w:rsidRPr="00E10304">
        <w:rPr>
          <w:rFonts w:eastAsia="Arial" w:cs="Arial"/>
          <w:szCs w:val="24"/>
        </w:rPr>
        <w:t xml:space="preserve">they describe what their chosen theme means to them and the delivery of the commitments we are making to our customers. </w:t>
      </w:r>
      <w:r w:rsidR="00743307" w:rsidRPr="00743307">
        <w:rPr>
          <w:rFonts w:eastAsia="Arial" w:cs="Arial"/>
          <w:szCs w:val="24"/>
        </w:rPr>
        <w:t>Our C</w:t>
      </w:r>
      <w:r w:rsidR="00CD4F38">
        <w:rPr>
          <w:rFonts w:eastAsia="Arial" w:cs="Arial"/>
          <w:szCs w:val="24"/>
        </w:rPr>
        <w:t xml:space="preserve">ustomer Scrutiny Panel </w:t>
      </w:r>
      <w:r w:rsidR="00743307" w:rsidRPr="00743307">
        <w:rPr>
          <w:rFonts w:eastAsia="Arial" w:cs="Arial"/>
          <w:szCs w:val="24"/>
        </w:rPr>
        <w:t>also mirrored this approach to scrutinise each theme in detail.</w:t>
      </w:r>
    </w:p>
    <w:p w14:paraId="78EBEB17" w14:textId="14A17E18" w:rsidR="002235B2" w:rsidRDefault="002235B2" w:rsidP="00E10304">
      <w:pPr>
        <w:spacing w:after="160"/>
        <w:jc w:val="both"/>
        <w:rPr>
          <w:rFonts w:eastAsia="Arial" w:cs="Arial"/>
          <w:szCs w:val="24"/>
        </w:rPr>
      </w:pPr>
      <w:r>
        <w:rPr>
          <w:rFonts w:eastAsia="Arial" w:cs="Arial"/>
          <w:szCs w:val="24"/>
        </w:rPr>
        <w:t xml:space="preserve">One of the four objectives of our customer engagement strategy was to understand our customers’ views on the four themes so the business plan </w:t>
      </w:r>
      <w:r w:rsidR="005A3AC5">
        <w:rPr>
          <w:rFonts w:eastAsia="Arial" w:cs="Arial"/>
          <w:szCs w:val="24"/>
        </w:rPr>
        <w:t>commitments that</w:t>
      </w:r>
      <w:r>
        <w:rPr>
          <w:rFonts w:eastAsia="Arial" w:cs="Arial"/>
          <w:szCs w:val="24"/>
        </w:rPr>
        <w:t xml:space="preserve"> address these areas clearly reflects their priorities.</w:t>
      </w:r>
      <w:r w:rsidR="009B44FD">
        <w:rPr>
          <w:rFonts w:eastAsia="Arial" w:cs="Arial"/>
          <w:szCs w:val="24"/>
        </w:rPr>
        <w:t xml:space="preserve"> We addressed this in all three stages of our research</w:t>
      </w:r>
      <w:r w:rsidR="00CD4F38">
        <w:rPr>
          <w:rFonts w:eastAsia="Arial" w:cs="Arial"/>
          <w:szCs w:val="24"/>
        </w:rPr>
        <w:t xml:space="preserve"> activity</w:t>
      </w:r>
      <w:r w:rsidR="009B44FD">
        <w:rPr>
          <w:rFonts w:eastAsia="Arial" w:cs="Arial"/>
          <w:szCs w:val="24"/>
        </w:rPr>
        <w:t xml:space="preserve">, using different methods with different audiences. </w:t>
      </w:r>
      <w:r>
        <w:rPr>
          <w:rFonts w:eastAsia="Arial" w:cs="Arial"/>
          <w:szCs w:val="24"/>
        </w:rPr>
        <w:t xml:space="preserve">  </w:t>
      </w:r>
    </w:p>
    <w:p w14:paraId="0BB0D507" w14:textId="5D1A760F" w:rsidR="00E10304" w:rsidRPr="00CD4F38" w:rsidRDefault="003B083C" w:rsidP="00E10304">
      <w:pPr>
        <w:spacing w:after="160"/>
        <w:jc w:val="both"/>
        <w:rPr>
          <w:rFonts w:eastAsia="Arial" w:cs="Arial"/>
          <w:szCs w:val="24"/>
        </w:rPr>
      </w:pPr>
      <w:r>
        <w:rPr>
          <w:rFonts w:eastAsia="Arial" w:cs="Arial"/>
          <w:szCs w:val="24"/>
        </w:rPr>
        <w:t xml:space="preserve">We have dedicated chapters </w:t>
      </w:r>
      <w:r w:rsidR="00CD4F38">
        <w:rPr>
          <w:rFonts w:eastAsia="Arial" w:cs="Arial"/>
          <w:szCs w:val="24"/>
        </w:rPr>
        <w:t>on innovation and resilience which explain our overall approach to these important areas and our retail chapter explains how we intend to provide great customer service and ensure that our customers can afford their water supply. However, each theme is not the responsibility of one department so t</w:t>
      </w:r>
      <w:r w:rsidR="002235B2">
        <w:rPr>
          <w:rFonts w:eastAsia="Arial" w:cs="Arial"/>
          <w:szCs w:val="24"/>
        </w:rPr>
        <w:t xml:space="preserve">hroughout our plan we have highlighted specific case studies which show how the four themes flow through our plan. </w:t>
      </w:r>
    </w:p>
    <w:p w14:paraId="0D231C0B" w14:textId="6870C57D" w:rsidR="007F3EBC" w:rsidRPr="00F45E79" w:rsidRDefault="004B5A05" w:rsidP="008D2010">
      <w:pPr>
        <w:pStyle w:val="Tableheading"/>
        <w:rPr>
          <w:rStyle w:val="Strong"/>
          <w:rFonts w:ascii="Franklin Gothic Demi" w:hAnsi="Franklin Gothic Demi"/>
          <w:color w:val="003479"/>
        </w:rPr>
      </w:pPr>
      <w:bookmarkStart w:id="9" w:name="_Toc510692480"/>
      <w:r>
        <w:rPr>
          <w:rStyle w:val="Strong"/>
          <w:rFonts w:ascii="Franklin Gothic Demi" w:hAnsi="Franklin Gothic Demi"/>
          <w:color w:val="003479"/>
        </w:rPr>
        <w:t>Table 2</w:t>
      </w:r>
      <w:r w:rsidR="007F3EBC" w:rsidRPr="00F45E79">
        <w:rPr>
          <w:rStyle w:val="Strong"/>
          <w:rFonts w:ascii="Franklin Gothic Demi" w:hAnsi="Franklin Gothic Demi"/>
          <w:color w:val="003479"/>
        </w:rPr>
        <w:t xml:space="preserve">.1: </w:t>
      </w:r>
      <w:r w:rsidR="00CD5368" w:rsidRPr="00F45E79">
        <w:rPr>
          <w:rStyle w:val="Strong"/>
          <w:rFonts w:ascii="Franklin Gothic Demi" w:hAnsi="Franklin Gothic Demi"/>
          <w:color w:val="003479"/>
        </w:rPr>
        <w:t>Waterfall chart</w:t>
      </w:r>
      <w:bookmarkEnd w:id="9"/>
      <w:r w:rsidR="00CD5368" w:rsidRPr="00F45E79">
        <w:rPr>
          <w:rStyle w:val="Strong"/>
          <w:rFonts w:ascii="Franklin Gothic Demi" w:hAnsi="Franklin Gothic Demi"/>
          <w:color w:val="003479"/>
        </w:rPr>
        <w:t xml:space="preserve"> </w:t>
      </w:r>
    </w:p>
    <w:p w14:paraId="77BFA3D9" w14:textId="0F621136" w:rsidR="004B5A05" w:rsidRPr="009F2A09" w:rsidRDefault="009F2A09" w:rsidP="00B21327">
      <w:pPr>
        <w:rPr>
          <w:rStyle w:val="Strong"/>
          <w:rFonts w:asciiTheme="minorHAnsi" w:hAnsiTheme="minorHAnsi" w:cstheme="minorHAnsi"/>
          <w:color w:val="auto"/>
          <w:szCs w:val="24"/>
        </w:rPr>
      </w:pPr>
      <w:r>
        <w:rPr>
          <w:rStyle w:val="Strong"/>
          <w:rFonts w:asciiTheme="minorHAnsi" w:hAnsiTheme="minorHAnsi" w:cstheme="minorHAnsi"/>
          <w:color w:val="auto"/>
          <w:szCs w:val="24"/>
        </w:rPr>
        <w:t xml:space="preserve">This chart provides an overview of what is driving changes to bills between </w:t>
      </w:r>
      <w:r w:rsidR="00007BDD">
        <w:rPr>
          <w:rStyle w:val="Strong"/>
          <w:rFonts w:asciiTheme="minorHAnsi" w:hAnsiTheme="minorHAnsi" w:cstheme="minorHAnsi"/>
          <w:color w:val="auto"/>
          <w:szCs w:val="24"/>
        </w:rPr>
        <w:t>2019-20 and 2024-</w:t>
      </w:r>
      <w:r w:rsidR="00CD5368" w:rsidRPr="004E411A">
        <w:rPr>
          <w:rStyle w:val="Strong"/>
          <w:rFonts w:asciiTheme="minorHAnsi" w:hAnsiTheme="minorHAnsi" w:cstheme="minorHAnsi"/>
          <w:color w:val="auto"/>
          <w:szCs w:val="24"/>
        </w:rPr>
        <w:t>25</w:t>
      </w:r>
      <w:r>
        <w:rPr>
          <w:rStyle w:val="Strong"/>
          <w:rFonts w:asciiTheme="minorHAnsi" w:hAnsiTheme="minorHAnsi" w:cstheme="minorHAnsi"/>
          <w:color w:val="auto"/>
          <w:szCs w:val="24"/>
        </w:rPr>
        <w:t>. The inputs to the waterfa</w:t>
      </w:r>
      <w:r w:rsidR="00007BDD">
        <w:rPr>
          <w:rStyle w:val="Strong"/>
          <w:rFonts w:asciiTheme="minorHAnsi" w:hAnsiTheme="minorHAnsi" w:cstheme="minorHAnsi"/>
          <w:color w:val="auto"/>
          <w:szCs w:val="24"/>
        </w:rPr>
        <w:t>ll chart are in price base 2017-</w:t>
      </w:r>
      <w:r>
        <w:rPr>
          <w:rStyle w:val="Strong"/>
          <w:rFonts w:asciiTheme="minorHAnsi" w:hAnsiTheme="minorHAnsi" w:cstheme="minorHAnsi"/>
          <w:color w:val="auto"/>
          <w:szCs w:val="24"/>
        </w:rPr>
        <w:t>18 year average CPIH deflated.</w:t>
      </w:r>
      <w:r w:rsidR="00DF4D27">
        <w:rPr>
          <w:rStyle w:val="Strong"/>
          <w:rFonts w:asciiTheme="minorHAnsi" w:hAnsiTheme="minorHAnsi" w:cstheme="minorHAnsi"/>
          <w:color w:val="auto"/>
          <w:szCs w:val="24"/>
        </w:rPr>
        <w:t xml:space="preserve"> </w:t>
      </w:r>
      <w:r w:rsidR="003672FB">
        <w:rPr>
          <w:rStyle w:val="Strong"/>
          <w:rFonts w:asciiTheme="minorHAnsi" w:hAnsiTheme="minorHAnsi" w:cstheme="minorHAnsi"/>
          <w:color w:val="auto"/>
          <w:szCs w:val="24"/>
        </w:rPr>
        <w:t>This is based on Ofwat’s published bill</w:t>
      </w:r>
      <w:r w:rsidR="00D6347A">
        <w:rPr>
          <w:rStyle w:val="Strong"/>
          <w:rFonts w:asciiTheme="minorHAnsi" w:hAnsiTheme="minorHAnsi" w:cstheme="minorHAnsi"/>
          <w:color w:val="auto"/>
          <w:szCs w:val="24"/>
        </w:rPr>
        <w:t xml:space="preserve"> </w:t>
      </w:r>
      <w:r w:rsidR="003672FB">
        <w:rPr>
          <w:rStyle w:val="Strong"/>
          <w:rFonts w:asciiTheme="minorHAnsi" w:hAnsiTheme="minorHAnsi" w:cstheme="minorHAnsi"/>
          <w:color w:val="auto"/>
          <w:szCs w:val="24"/>
        </w:rPr>
        <w:t>movement model,</w:t>
      </w:r>
      <w:r w:rsidR="00DF4D27">
        <w:rPr>
          <w:rStyle w:val="Strong"/>
          <w:rFonts w:asciiTheme="minorHAnsi" w:hAnsiTheme="minorHAnsi" w:cstheme="minorHAnsi"/>
          <w:color w:val="auto"/>
          <w:szCs w:val="24"/>
        </w:rPr>
        <w:t xml:space="preserve"> </w:t>
      </w:r>
      <w:hyperlink r:id="rId12" w:history="1">
        <w:r w:rsidR="00DF4D27" w:rsidRPr="008C3534">
          <w:rPr>
            <w:rStyle w:val="Hyperlink"/>
            <w:rFonts w:asciiTheme="minorHAnsi" w:hAnsiTheme="minorHAnsi" w:cstheme="minorHAnsi"/>
            <w:noProof/>
            <w:szCs w:val="24"/>
          </w:rPr>
          <w:t xml:space="preserve">PR19 </w:t>
        </w:r>
        <w:r w:rsidR="008C3534" w:rsidRPr="008C3534">
          <w:rPr>
            <w:rStyle w:val="Hyperlink"/>
            <w:rFonts w:asciiTheme="minorHAnsi" w:hAnsiTheme="minorHAnsi" w:cstheme="minorHAnsi"/>
            <w:noProof/>
            <w:szCs w:val="24"/>
          </w:rPr>
          <w:t>bill movement model</w:t>
        </w:r>
      </w:hyperlink>
      <w:r w:rsidR="008C3534">
        <w:rPr>
          <w:rStyle w:val="Strong"/>
          <w:rFonts w:asciiTheme="minorHAnsi" w:hAnsiTheme="minorHAnsi" w:cstheme="minorHAnsi"/>
          <w:color w:val="auto"/>
          <w:szCs w:val="24"/>
        </w:rPr>
        <w:t xml:space="preserve">.  </w:t>
      </w:r>
    </w:p>
    <w:tbl>
      <w:tblPr>
        <w:tblStyle w:val="Ofwatnew"/>
        <w:tblW w:w="5000" w:type="pct"/>
        <w:tblLook w:val="04A0" w:firstRow="1" w:lastRow="0" w:firstColumn="1" w:lastColumn="0" w:noHBand="0" w:noVBand="1"/>
      </w:tblPr>
      <w:tblGrid>
        <w:gridCol w:w="6008"/>
        <w:gridCol w:w="3008"/>
      </w:tblGrid>
      <w:tr w:rsidR="007B3008" w:rsidRPr="00057464" w14:paraId="07604655" w14:textId="77777777" w:rsidTr="007B3008">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9242" w:type="dxa"/>
            <w:gridSpan w:val="2"/>
            <w:noWrap/>
          </w:tcPr>
          <w:p w14:paraId="6172ACE9" w14:textId="06FC524C" w:rsidR="007B3008" w:rsidRPr="008D2010" w:rsidRDefault="007B3008" w:rsidP="007B3008">
            <w:pPr>
              <w:pStyle w:val="Tabledescriptorcell1"/>
              <w:rPr>
                <w:rStyle w:val="Strong"/>
                <w:rFonts w:ascii="Franklin Gothic Demi" w:hAnsi="Franklin Gothic Demi"/>
                <w:color w:val="0078D2"/>
              </w:rPr>
            </w:pPr>
            <w:r>
              <w:rPr>
                <w:rStyle w:val="Strong"/>
                <w:rFonts w:ascii="Franklin Gothic Demi" w:hAnsi="Franklin Gothic Demi"/>
                <w:color w:val="0078D2"/>
              </w:rPr>
              <w:t>SES bill movement chart</w:t>
            </w:r>
          </w:p>
        </w:tc>
      </w:tr>
      <w:tr w:rsidR="007B3008" w:rsidRPr="00057464" w14:paraId="24E3CDD7" w14:textId="77777777" w:rsidTr="007B3008">
        <w:trPr>
          <w:cnfStyle w:val="100000000000" w:firstRow="1" w:lastRow="0" w:firstColumn="0" w:lastColumn="0" w:oddVBand="0" w:evenVBand="0" w:oddHBand="0" w:evenHBand="0" w:firstRowFirstColumn="0" w:firstRowLastColumn="0" w:lastRowFirstColumn="0" w:lastRowLastColumn="0"/>
          <w:trHeight w:val="285"/>
          <w:tblHeader/>
        </w:trPr>
        <w:tc>
          <w:tcPr>
            <w:cnfStyle w:val="000000000100" w:firstRow="0" w:lastRow="0" w:firstColumn="0" w:lastColumn="0" w:oddVBand="0" w:evenVBand="0" w:oddHBand="0" w:evenHBand="0" w:firstRowFirstColumn="1" w:firstRowLastColumn="0" w:lastRowFirstColumn="0" w:lastRowLastColumn="0"/>
            <w:tcW w:w="6161" w:type="dxa"/>
            <w:noWrap/>
          </w:tcPr>
          <w:p w14:paraId="1376DCA2" w14:textId="77777777" w:rsidR="007B3008" w:rsidRPr="008D2010" w:rsidRDefault="007B3008" w:rsidP="007B3008">
            <w:pPr>
              <w:pStyle w:val="Tabledescriptorcell1"/>
              <w:rPr>
                <w:rStyle w:val="Strong"/>
                <w:rFonts w:ascii="Franklin Gothic Demi" w:hAnsi="Franklin Gothic Demi"/>
                <w:color w:val="0078D2"/>
              </w:rPr>
            </w:pPr>
            <w:r w:rsidRPr="008D2010">
              <w:rPr>
                <w:rStyle w:val="Strong"/>
                <w:rFonts w:ascii="Franklin Gothic Demi" w:hAnsi="Franklin Gothic Demi"/>
                <w:color w:val="0078D2"/>
              </w:rPr>
              <w:t>Inputs</w:t>
            </w:r>
          </w:p>
        </w:tc>
        <w:tc>
          <w:tcPr>
            <w:tcW w:w="3081" w:type="dxa"/>
            <w:noWrap/>
          </w:tcPr>
          <w:p w14:paraId="51FAFDB4" w14:textId="77777777" w:rsidR="007B3008" w:rsidRPr="008D2010" w:rsidRDefault="007B3008" w:rsidP="007B3008">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 per customer</w:t>
            </w:r>
          </w:p>
        </w:tc>
      </w:tr>
      <w:tr w:rsidR="007B3008" w:rsidRPr="00057464" w14:paraId="695CA067" w14:textId="77777777" w:rsidTr="007B3008">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525C76B7" w14:textId="77777777" w:rsidR="007B3008" w:rsidRPr="004448A4" w:rsidRDefault="007B3008" w:rsidP="007B3008">
            <w:pPr>
              <w:pStyle w:val="Tableparagraph"/>
              <w:rPr>
                <w:rStyle w:val="Strong"/>
                <w:rFonts w:cstheme="minorHAnsi"/>
              </w:rPr>
            </w:pPr>
            <w:r>
              <w:rPr>
                <w:rStyle w:val="Strong"/>
                <w:rFonts w:cstheme="minorHAnsi"/>
              </w:rPr>
              <w:t>2019-</w:t>
            </w:r>
            <w:r w:rsidRPr="004448A4">
              <w:rPr>
                <w:rStyle w:val="Strong"/>
                <w:rFonts w:cstheme="minorHAnsi"/>
              </w:rPr>
              <w:t>20 Bill</w:t>
            </w:r>
          </w:p>
        </w:tc>
        <w:tc>
          <w:tcPr>
            <w:tcW w:w="3081" w:type="dxa"/>
            <w:noWrap/>
          </w:tcPr>
          <w:p w14:paraId="40431A81" w14:textId="6CA836F5" w:rsidR="007B3008" w:rsidRPr="004448A4" w:rsidRDefault="007B3008" w:rsidP="007B3008">
            <w:pPr>
              <w:pStyle w:val="Tableparagraph"/>
              <w:jc w:val="right"/>
              <w:rPr>
                <w:rStyle w:val="Strong"/>
                <w:rFonts w:cstheme="minorHAnsi"/>
              </w:rPr>
            </w:pPr>
            <w:r>
              <w:rPr>
                <w:rStyle w:val="Strong"/>
                <w:rFonts w:cstheme="minorHAnsi"/>
              </w:rPr>
              <w:t>188</w:t>
            </w:r>
          </w:p>
        </w:tc>
      </w:tr>
      <w:tr w:rsidR="007B3008" w:rsidRPr="00057464" w14:paraId="19B3BE4F" w14:textId="77777777" w:rsidTr="007B3008">
        <w:trPr>
          <w:cnfStyle w:val="000000010000" w:firstRow="0" w:lastRow="0" w:firstColumn="0" w:lastColumn="0" w:oddVBand="0" w:evenVBand="0" w:oddHBand="0" w:evenHBand="1" w:firstRowFirstColumn="0" w:firstRowLastColumn="0" w:lastRowFirstColumn="0" w:lastRowLastColumn="0"/>
          <w:trHeight w:val="285"/>
        </w:trPr>
        <w:tc>
          <w:tcPr>
            <w:tcW w:w="6161" w:type="dxa"/>
            <w:noWrap/>
          </w:tcPr>
          <w:p w14:paraId="21826B95" w14:textId="77777777" w:rsidR="007B3008" w:rsidRPr="008D2010" w:rsidRDefault="007B3008" w:rsidP="007B3008">
            <w:pPr>
              <w:pStyle w:val="Tableparagraph"/>
              <w:rPr>
                <w:rStyle w:val="Strong"/>
                <w:rFonts w:asciiTheme="minorHAnsi" w:hAnsiTheme="minorHAnsi" w:cstheme="minorHAnsi"/>
                <w:color w:val="auto"/>
              </w:rPr>
            </w:pPr>
            <w:r w:rsidRPr="001A6867">
              <w:rPr>
                <w:rStyle w:val="Strong"/>
                <w:rFonts w:asciiTheme="minorHAnsi" w:hAnsiTheme="minorHAnsi" w:cstheme="minorHAnsi"/>
                <w:color w:val="auto"/>
                <w:sz w:val="20"/>
                <w:szCs w:val="20"/>
              </w:rPr>
              <w:t>Changes between 2019/20 and 2024/25</w:t>
            </w:r>
          </w:p>
        </w:tc>
        <w:tc>
          <w:tcPr>
            <w:tcW w:w="3081" w:type="dxa"/>
            <w:noWrap/>
          </w:tcPr>
          <w:p w14:paraId="2365F6A4" w14:textId="77777777" w:rsidR="007B3008" w:rsidRPr="00057464" w:rsidRDefault="007B3008" w:rsidP="007B3008">
            <w:pPr>
              <w:pStyle w:val="Tableparagraph"/>
              <w:jc w:val="right"/>
              <w:rPr>
                <w:rStyle w:val="Strong"/>
                <w:rFonts w:asciiTheme="minorHAnsi" w:hAnsiTheme="minorHAnsi" w:cstheme="minorHAnsi"/>
                <w:b/>
                <w:color w:val="auto"/>
              </w:rPr>
            </w:pPr>
          </w:p>
        </w:tc>
      </w:tr>
      <w:tr w:rsidR="007B3008" w:rsidRPr="00057464" w14:paraId="39A1F935" w14:textId="77777777" w:rsidTr="007B3008">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1F98902D" w14:textId="77777777"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w:t>
            </w:r>
            <w:r>
              <w:rPr>
                <w:rStyle w:val="Strong"/>
                <w:rFonts w:asciiTheme="minorHAnsi" w:hAnsiTheme="minorHAnsi" w:cstheme="minorHAnsi"/>
                <w:color w:val="auto"/>
                <w:sz w:val="20"/>
                <w:szCs w:val="20"/>
              </w:rPr>
              <w:t xml:space="preserve"> </w:t>
            </w:r>
          </w:p>
        </w:tc>
        <w:tc>
          <w:tcPr>
            <w:tcW w:w="3081" w:type="dxa"/>
            <w:noWrap/>
          </w:tcPr>
          <w:p w14:paraId="3ADFE005" w14:textId="0C514B6E"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3</w:t>
            </w:r>
          </w:p>
        </w:tc>
      </w:tr>
      <w:tr w:rsidR="007B3008" w:rsidRPr="00057464" w14:paraId="0187BEB5" w14:textId="77777777" w:rsidTr="007B3008">
        <w:trPr>
          <w:cnfStyle w:val="000000010000" w:firstRow="0" w:lastRow="0" w:firstColumn="0" w:lastColumn="0" w:oddVBand="0" w:evenVBand="0" w:oddHBand="0" w:evenHBand="1" w:firstRowFirstColumn="0" w:firstRowLastColumn="0" w:lastRowFirstColumn="0" w:lastRowLastColumn="0"/>
          <w:trHeight w:val="285"/>
        </w:trPr>
        <w:tc>
          <w:tcPr>
            <w:tcW w:w="6161" w:type="dxa"/>
            <w:noWrap/>
          </w:tcPr>
          <w:p w14:paraId="7E7F4049" w14:textId="73E14975"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lastRenderedPageBreak/>
              <w:t>Change in totex</w:t>
            </w:r>
          </w:p>
        </w:tc>
        <w:tc>
          <w:tcPr>
            <w:tcW w:w="3081" w:type="dxa"/>
            <w:noWrap/>
          </w:tcPr>
          <w:p w14:paraId="72D21BF7" w14:textId="24CC005F"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(4)</w:t>
            </w:r>
          </w:p>
        </w:tc>
      </w:tr>
      <w:tr w:rsidR="007B3008" w:rsidRPr="00057464" w14:paraId="0C2B803B" w14:textId="77777777" w:rsidTr="007B3008">
        <w:trPr>
          <w:cnfStyle w:val="000000100000" w:firstRow="0" w:lastRow="0" w:firstColumn="0" w:lastColumn="0" w:oddVBand="0" w:evenVBand="0" w:oddHBand="1" w:evenHBand="0" w:firstRowFirstColumn="0" w:firstRowLastColumn="0" w:lastRowFirstColumn="0" w:lastRowLastColumn="0"/>
          <w:trHeight w:val="285"/>
        </w:trPr>
        <w:tc>
          <w:tcPr>
            <w:tcW w:w="6161" w:type="dxa"/>
            <w:noWrap/>
          </w:tcPr>
          <w:p w14:paraId="3505E311" w14:textId="01403DF0"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PAYG rate</w:t>
            </w:r>
          </w:p>
        </w:tc>
        <w:tc>
          <w:tcPr>
            <w:tcW w:w="3081" w:type="dxa"/>
            <w:noWrap/>
          </w:tcPr>
          <w:p w14:paraId="3DE4C377" w14:textId="1894D23E"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(5)</w:t>
            </w:r>
          </w:p>
        </w:tc>
      </w:tr>
      <w:tr w:rsidR="007B3008" w:rsidRPr="00057464" w14:paraId="13107AAB" w14:textId="77777777" w:rsidTr="007B3008">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15E2347B" w14:textId="77777777"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RCV run-off</w:t>
            </w:r>
          </w:p>
        </w:tc>
        <w:tc>
          <w:tcPr>
            <w:tcW w:w="3081" w:type="dxa"/>
            <w:noWrap/>
          </w:tcPr>
          <w:p w14:paraId="22041E70" w14:textId="205254E4"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4</w:t>
            </w:r>
          </w:p>
        </w:tc>
      </w:tr>
      <w:tr w:rsidR="007B3008" w:rsidRPr="00057464" w14:paraId="194868BA" w14:textId="77777777" w:rsidTr="007B3008">
        <w:trPr>
          <w:cnfStyle w:val="000000100000" w:firstRow="0" w:lastRow="0" w:firstColumn="0" w:lastColumn="0" w:oddVBand="0" w:evenVBand="0" w:oddHBand="1" w:evenHBand="0" w:firstRowFirstColumn="0" w:firstRowLastColumn="0" w:lastRowFirstColumn="0" w:lastRowLastColumn="0"/>
          <w:trHeight w:val="285"/>
        </w:trPr>
        <w:tc>
          <w:tcPr>
            <w:tcW w:w="6161" w:type="dxa"/>
            <w:noWrap/>
            <w:hideMark/>
          </w:tcPr>
          <w:p w14:paraId="7A3EACA3" w14:textId="77777777"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WACC</w:t>
            </w:r>
          </w:p>
        </w:tc>
        <w:tc>
          <w:tcPr>
            <w:tcW w:w="3081" w:type="dxa"/>
            <w:noWrap/>
          </w:tcPr>
          <w:p w14:paraId="5171E419" w14:textId="118F6EEF"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(1)</w:t>
            </w:r>
          </w:p>
        </w:tc>
      </w:tr>
      <w:tr w:rsidR="007B3008" w:rsidRPr="00057464" w14:paraId="7BD0EF05" w14:textId="77777777" w:rsidTr="007B3008">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47A0834A" w14:textId="77777777"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other wholesale items</w:t>
            </w:r>
          </w:p>
        </w:tc>
        <w:tc>
          <w:tcPr>
            <w:tcW w:w="3081" w:type="dxa"/>
            <w:noWrap/>
          </w:tcPr>
          <w:p w14:paraId="73D98BB1" w14:textId="5CAB3868"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w:t>
            </w:r>
          </w:p>
        </w:tc>
      </w:tr>
      <w:tr w:rsidR="007B3008" w:rsidRPr="00057464" w14:paraId="1DCB8152" w14:textId="77777777" w:rsidTr="007B3008">
        <w:trPr>
          <w:cnfStyle w:val="000000100000" w:firstRow="0" w:lastRow="0" w:firstColumn="0" w:lastColumn="0" w:oddVBand="0" w:evenVBand="0" w:oddHBand="1" w:evenHBand="0" w:firstRowFirstColumn="0" w:firstRowLastColumn="0" w:lastRowFirstColumn="0" w:lastRowLastColumn="0"/>
          <w:trHeight w:val="285"/>
        </w:trPr>
        <w:tc>
          <w:tcPr>
            <w:tcW w:w="6161" w:type="dxa"/>
            <w:noWrap/>
          </w:tcPr>
          <w:p w14:paraId="54FC2966" w14:textId="7762B638"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reconciliation items</w:t>
            </w:r>
          </w:p>
        </w:tc>
        <w:tc>
          <w:tcPr>
            <w:tcW w:w="3081" w:type="dxa"/>
            <w:noWrap/>
          </w:tcPr>
          <w:p w14:paraId="68CD0F29" w14:textId="20F58984"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(1)</w:t>
            </w:r>
          </w:p>
        </w:tc>
      </w:tr>
      <w:tr w:rsidR="007B3008" w:rsidRPr="00057464" w14:paraId="33BD6C0D" w14:textId="77777777" w:rsidTr="007B3008">
        <w:trPr>
          <w:cnfStyle w:val="000000010000" w:firstRow="0" w:lastRow="0" w:firstColumn="0" w:lastColumn="0" w:oddVBand="0" w:evenVBand="0" w:oddHBand="0" w:evenHBand="1" w:firstRowFirstColumn="0" w:firstRowLastColumn="0" w:lastRowFirstColumn="0" w:lastRowLastColumn="0"/>
          <w:trHeight w:val="285"/>
        </w:trPr>
        <w:tc>
          <w:tcPr>
            <w:tcW w:w="6161" w:type="dxa"/>
            <w:noWrap/>
            <w:hideMark/>
          </w:tcPr>
          <w:p w14:paraId="196E9E69" w14:textId="77777777" w:rsidR="007B3008" w:rsidRPr="00007BDD" w:rsidRDefault="007B3008" w:rsidP="007B3008">
            <w:pPr>
              <w:pStyle w:val="Tableparagraph"/>
              <w:rPr>
                <w:rStyle w:val="Strong"/>
                <w:rFonts w:asciiTheme="minorHAnsi" w:hAnsiTheme="minorHAnsi" w:cstheme="minorHAnsi"/>
                <w:color w:val="auto"/>
                <w:sz w:val="20"/>
                <w:szCs w:val="20"/>
              </w:rPr>
            </w:pPr>
            <w:r w:rsidRPr="00007BDD">
              <w:rPr>
                <w:rStyle w:val="Strong"/>
                <w:rFonts w:asciiTheme="minorHAnsi" w:hAnsiTheme="minorHAnsi" w:cstheme="minorHAnsi"/>
                <w:color w:val="auto"/>
                <w:sz w:val="20"/>
                <w:szCs w:val="20"/>
              </w:rPr>
              <w:t>Change in retail CTS</w:t>
            </w:r>
          </w:p>
        </w:tc>
        <w:tc>
          <w:tcPr>
            <w:tcW w:w="3081" w:type="dxa"/>
            <w:noWrap/>
          </w:tcPr>
          <w:p w14:paraId="43BFE4E8" w14:textId="06A95A82" w:rsidR="007B3008" w:rsidRPr="00007BDD" w:rsidRDefault="007B3008" w:rsidP="007B3008">
            <w:pPr>
              <w:pStyle w:val="Tableparagraph"/>
              <w:jc w:val="right"/>
              <w:rPr>
                <w:rStyle w:val="Strong"/>
                <w:rFonts w:asciiTheme="minorHAnsi" w:hAnsiTheme="minorHAnsi" w:cstheme="minorHAnsi"/>
                <w:color w:val="auto"/>
                <w:sz w:val="20"/>
                <w:szCs w:val="20"/>
              </w:rPr>
            </w:pPr>
            <w:r>
              <w:rPr>
                <w:rStyle w:val="Strong"/>
                <w:rFonts w:asciiTheme="minorHAnsi" w:hAnsiTheme="minorHAnsi" w:cstheme="minorHAnsi"/>
                <w:color w:val="auto"/>
                <w:sz w:val="20"/>
                <w:szCs w:val="20"/>
              </w:rPr>
              <w:t>(1)</w:t>
            </w:r>
          </w:p>
        </w:tc>
      </w:tr>
      <w:tr w:rsidR="007B3008" w:rsidRPr="007B3008" w14:paraId="329690C3" w14:textId="77777777" w:rsidTr="007B3008">
        <w:trPr>
          <w:cnfStyle w:val="000000100000" w:firstRow="0" w:lastRow="0" w:firstColumn="0" w:lastColumn="0" w:oddVBand="0" w:evenVBand="0" w:oddHBand="1" w:evenHBand="0" w:firstRowFirstColumn="0" w:firstRowLastColumn="0" w:lastRowFirstColumn="0" w:lastRowLastColumn="0"/>
          <w:trHeight w:val="285"/>
        </w:trPr>
        <w:tc>
          <w:tcPr>
            <w:tcW w:w="6161" w:type="dxa"/>
            <w:noWrap/>
          </w:tcPr>
          <w:p w14:paraId="3964CE1E" w14:textId="78FB52FA" w:rsidR="007B3008" w:rsidRPr="008D2010" w:rsidRDefault="007B3008" w:rsidP="007B3008">
            <w:pPr>
              <w:pStyle w:val="Tableparagraph"/>
              <w:rPr>
                <w:rStyle w:val="Strong"/>
                <w:rFonts w:asciiTheme="minorHAnsi" w:hAnsiTheme="minorHAnsi" w:cstheme="minorHAnsi"/>
                <w:color w:val="auto"/>
              </w:rPr>
            </w:pPr>
            <w:r w:rsidRPr="00007BDD">
              <w:rPr>
                <w:rStyle w:val="Strong"/>
                <w:rFonts w:asciiTheme="minorHAnsi" w:hAnsiTheme="minorHAnsi" w:cstheme="minorHAnsi"/>
                <w:color w:val="auto"/>
                <w:sz w:val="20"/>
                <w:szCs w:val="20"/>
              </w:rPr>
              <w:t>Change in customer numbers</w:t>
            </w:r>
          </w:p>
        </w:tc>
        <w:tc>
          <w:tcPr>
            <w:tcW w:w="3081" w:type="dxa"/>
            <w:noWrap/>
          </w:tcPr>
          <w:p w14:paraId="6B443448" w14:textId="2A01E0A1" w:rsidR="007B3008" w:rsidRPr="007B3008" w:rsidRDefault="007B3008" w:rsidP="007B3008">
            <w:pPr>
              <w:pStyle w:val="Tableparagraph"/>
              <w:jc w:val="right"/>
              <w:rPr>
                <w:rStyle w:val="Strong"/>
                <w:rFonts w:asciiTheme="minorHAnsi" w:hAnsiTheme="minorHAnsi" w:cstheme="minorHAnsi"/>
                <w:color w:val="auto"/>
                <w:sz w:val="20"/>
                <w:szCs w:val="20"/>
              </w:rPr>
            </w:pPr>
            <w:r w:rsidRPr="007B3008">
              <w:rPr>
                <w:rStyle w:val="Strong"/>
                <w:rFonts w:asciiTheme="minorHAnsi" w:hAnsiTheme="minorHAnsi" w:cstheme="minorHAnsi"/>
                <w:color w:val="auto"/>
                <w:sz w:val="20"/>
                <w:szCs w:val="20"/>
              </w:rPr>
              <w:t>(4)</w:t>
            </w:r>
          </w:p>
        </w:tc>
      </w:tr>
      <w:tr w:rsidR="007B3008" w:rsidRPr="00057464" w14:paraId="7A6AC34D" w14:textId="77777777" w:rsidTr="007B3008">
        <w:trPr>
          <w:cnfStyle w:val="000000010000" w:firstRow="0" w:lastRow="0" w:firstColumn="0" w:lastColumn="0" w:oddVBand="0" w:evenVBand="0" w:oddHBand="0" w:evenHBand="1" w:firstRowFirstColumn="0" w:firstRowLastColumn="0" w:lastRowFirstColumn="0" w:lastRowLastColumn="0"/>
          <w:trHeight w:val="300"/>
        </w:trPr>
        <w:tc>
          <w:tcPr>
            <w:tcW w:w="6161" w:type="dxa"/>
            <w:noWrap/>
            <w:hideMark/>
          </w:tcPr>
          <w:p w14:paraId="553C642D" w14:textId="77777777" w:rsidR="007B3008" w:rsidRPr="004448A4" w:rsidRDefault="007B3008" w:rsidP="007B3008">
            <w:pPr>
              <w:pStyle w:val="Tableparagraph"/>
              <w:rPr>
                <w:rStyle w:val="Strong"/>
                <w:rFonts w:cstheme="minorHAnsi"/>
              </w:rPr>
            </w:pPr>
            <w:r>
              <w:rPr>
                <w:rStyle w:val="Strong"/>
                <w:rFonts w:cstheme="minorHAnsi"/>
              </w:rPr>
              <w:t>2024-</w:t>
            </w:r>
            <w:r w:rsidRPr="004448A4">
              <w:rPr>
                <w:rStyle w:val="Strong"/>
                <w:rFonts w:cstheme="minorHAnsi"/>
              </w:rPr>
              <w:t>25 Bill</w:t>
            </w:r>
          </w:p>
        </w:tc>
        <w:tc>
          <w:tcPr>
            <w:tcW w:w="3081" w:type="dxa"/>
            <w:noWrap/>
          </w:tcPr>
          <w:p w14:paraId="08DBFC4D" w14:textId="40D2EEEA" w:rsidR="007B3008" w:rsidRPr="004448A4" w:rsidRDefault="007B3008" w:rsidP="007B3008">
            <w:pPr>
              <w:pStyle w:val="Tableparagraph"/>
              <w:jc w:val="right"/>
              <w:rPr>
                <w:rStyle w:val="Strong"/>
                <w:rFonts w:cstheme="minorHAnsi"/>
              </w:rPr>
            </w:pPr>
            <w:r>
              <w:rPr>
                <w:rStyle w:val="Strong"/>
                <w:rFonts w:cstheme="minorHAnsi"/>
              </w:rPr>
              <w:t>179</w:t>
            </w:r>
          </w:p>
        </w:tc>
      </w:tr>
    </w:tbl>
    <w:p w14:paraId="03CD2640" w14:textId="0A26FDCD" w:rsidR="00DF4D27" w:rsidRPr="00DF4D27" w:rsidRDefault="007B3008" w:rsidP="00DF4D27">
      <w:pPr>
        <w:pStyle w:val="Tableheading"/>
      </w:pPr>
      <w:r w:rsidRPr="00DF4D27">
        <w:rPr>
          <w:noProof/>
          <w:lang w:val="en-GB"/>
        </w:rPr>
        <w:drawing>
          <wp:anchor distT="0" distB="90170" distL="114300" distR="114300" simplePos="0" relativeHeight="251659264" behindDoc="0" locked="0" layoutInCell="1" allowOverlap="1" wp14:anchorId="71C4FE1C" wp14:editId="3769D8CE">
            <wp:simplePos x="0" y="0"/>
            <wp:positionH relativeFrom="margin">
              <wp:posOffset>154940</wp:posOffset>
            </wp:positionH>
            <wp:positionV relativeFrom="paragraph">
              <wp:posOffset>523240</wp:posOffset>
            </wp:positionV>
            <wp:extent cx="5462270" cy="3864610"/>
            <wp:effectExtent l="0" t="0" r="508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62270" cy="3864610"/>
                    </a:xfrm>
                    <a:prstGeom prst="rect">
                      <a:avLst/>
                    </a:prstGeom>
                    <a:noFill/>
                  </pic:spPr>
                </pic:pic>
              </a:graphicData>
            </a:graphic>
            <wp14:sizeRelH relativeFrom="page">
              <wp14:pctWidth>0</wp14:pctWidth>
            </wp14:sizeRelH>
            <wp14:sizeRelV relativeFrom="page">
              <wp14:pctHeight>0</wp14:pctHeight>
            </wp14:sizeRelV>
          </wp:anchor>
        </w:drawing>
      </w:r>
      <w:r w:rsidR="00DF4D27" w:rsidRPr="00DF4D27">
        <w:t xml:space="preserve">Explanation of movement in customers’ bills </w:t>
      </w:r>
    </w:p>
    <w:p w14:paraId="2E90125C" w14:textId="59861409" w:rsidR="007B3008" w:rsidRDefault="007B3008" w:rsidP="00F5161A">
      <w:pPr>
        <w:rPr>
          <w:rFonts w:eastAsia="MS Mincho" w:cs="Arial"/>
          <w:szCs w:val="24"/>
        </w:rPr>
      </w:pPr>
      <w:r>
        <w:rPr>
          <w:rFonts w:eastAsia="MS Mincho" w:cs="Arial"/>
          <w:szCs w:val="24"/>
        </w:rPr>
        <w:t xml:space="preserve">The chart shows that </w:t>
      </w:r>
      <w:r w:rsidR="003778E5">
        <w:rPr>
          <w:rFonts w:eastAsia="MS Mincho" w:cs="Arial"/>
          <w:szCs w:val="24"/>
        </w:rPr>
        <w:t xml:space="preserve">the </w:t>
      </w:r>
      <w:r>
        <w:rPr>
          <w:rFonts w:eastAsia="MS Mincho" w:cs="Arial"/>
          <w:szCs w:val="24"/>
        </w:rPr>
        <w:t xml:space="preserve">average customer bill is decreasing in real terms by 5%. </w:t>
      </w:r>
      <w:r w:rsidR="003778E5">
        <w:rPr>
          <w:rFonts w:eastAsia="MS Mincho" w:cs="Arial"/>
          <w:szCs w:val="24"/>
        </w:rPr>
        <w:t>This is the net impact of a number of factors, including:</w:t>
      </w:r>
    </w:p>
    <w:p w14:paraId="3071AAD6" w14:textId="07BB8DE4" w:rsidR="003778E5" w:rsidRDefault="003778E5" w:rsidP="007A4C0A">
      <w:pPr>
        <w:numPr>
          <w:ilvl w:val="0"/>
          <w:numId w:val="11"/>
        </w:numPr>
        <w:pBdr>
          <w:left w:val="none" w:sz="0" w:space="7" w:color="auto"/>
        </w:pBdr>
        <w:spacing w:before="0" w:after="180" w:line="240" w:lineRule="auto"/>
        <w:rPr>
          <w:sz w:val="22"/>
        </w:rPr>
      </w:pPr>
      <w:r w:rsidRPr="00806D28">
        <w:rPr>
          <w:rFonts w:eastAsia="Arial" w:cs="Arial"/>
          <w:bCs/>
          <w:sz w:val="22"/>
        </w:rPr>
        <w:t>Financing efficiencies</w:t>
      </w:r>
      <w:r w:rsidRPr="00806D28">
        <w:rPr>
          <w:rFonts w:eastAsia="Arial" w:cs="Arial"/>
          <w:sz w:val="22"/>
        </w:rPr>
        <w:t xml:space="preserve"> </w:t>
      </w:r>
      <w:r>
        <w:rPr>
          <w:rFonts w:eastAsia="Arial" w:cs="Arial"/>
          <w:sz w:val="22"/>
        </w:rPr>
        <w:t xml:space="preserve">– a lower cost of capital reduces the cost to our customers. </w:t>
      </w:r>
    </w:p>
    <w:p w14:paraId="13B39947" w14:textId="5897ACC9" w:rsidR="003778E5" w:rsidRDefault="003778E5" w:rsidP="007A4C0A">
      <w:pPr>
        <w:numPr>
          <w:ilvl w:val="0"/>
          <w:numId w:val="11"/>
        </w:numPr>
        <w:pBdr>
          <w:left w:val="none" w:sz="0" w:space="7" w:color="auto"/>
        </w:pBdr>
        <w:spacing w:before="0" w:after="180" w:line="240" w:lineRule="auto"/>
        <w:jc w:val="both"/>
        <w:rPr>
          <w:sz w:val="22"/>
        </w:rPr>
      </w:pPr>
      <w:r w:rsidRPr="00806D28">
        <w:rPr>
          <w:rFonts w:eastAsia="Arial" w:cs="Arial"/>
          <w:bCs/>
          <w:sz w:val="22"/>
        </w:rPr>
        <w:t>Cost efficiencies</w:t>
      </w:r>
      <w:r w:rsidRPr="00806D28">
        <w:rPr>
          <w:rFonts w:eastAsia="Arial" w:cs="Arial"/>
          <w:b/>
          <w:bCs/>
          <w:sz w:val="22"/>
        </w:rPr>
        <w:t xml:space="preserve"> </w:t>
      </w:r>
      <w:r>
        <w:rPr>
          <w:rFonts w:eastAsia="Arial" w:cs="Arial"/>
          <w:sz w:val="22"/>
        </w:rPr>
        <w:t xml:space="preserve">– planned expenditure has been reduced by 7% through inclusion of efficiencies. </w:t>
      </w:r>
    </w:p>
    <w:p w14:paraId="0D4FD3C8" w14:textId="46B35333" w:rsidR="003778E5" w:rsidRPr="003778E5" w:rsidRDefault="003778E5" w:rsidP="007A4C0A">
      <w:pPr>
        <w:numPr>
          <w:ilvl w:val="0"/>
          <w:numId w:val="11"/>
        </w:numPr>
        <w:pBdr>
          <w:left w:val="none" w:sz="0" w:space="7" w:color="auto"/>
        </w:pBdr>
        <w:spacing w:before="0" w:after="180" w:line="240" w:lineRule="auto"/>
        <w:jc w:val="both"/>
        <w:rPr>
          <w:rFonts w:eastAsia="Arial" w:cs="Arial"/>
          <w:bCs/>
          <w:sz w:val="22"/>
        </w:rPr>
      </w:pPr>
      <w:r>
        <w:rPr>
          <w:rFonts w:eastAsia="Arial" w:cs="Arial"/>
          <w:bCs/>
          <w:sz w:val="22"/>
        </w:rPr>
        <w:lastRenderedPageBreak/>
        <w:t>A</w:t>
      </w:r>
      <w:r w:rsidRPr="00806D28">
        <w:rPr>
          <w:rFonts w:eastAsia="Arial" w:cs="Arial"/>
          <w:bCs/>
          <w:sz w:val="22"/>
        </w:rPr>
        <w:t>djustments</w:t>
      </w:r>
      <w:r>
        <w:rPr>
          <w:rFonts w:eastAsia="Arial" w:cs="Arial"/>
          <w:bCs/>
          <w:sz w:val="22"/>
        </w:rPr>
        <w:t xml:space="preserve"> (2015 to 2020)</w:t>
      </w:r>
      <w:r w:rsidRPr="003778E5">
        <w:rPr>
          <w:rFonts w:eastAsia="Arial" w:cs="Arial"/>
          <w:bCs/>
          <w:sz w:val="22"/>
        </w:rPr>
        <w:t xml:space="preserve"> – the adjustment takes account of two factors: a reduction </w:t>
      </w:r>
      <w:r>
        <w:rPr>
          <w:rFonts w:eastAsia="Arial" w:cs="Arial"/>
          <w:bCs/>
          <w:sz w:val="22"/>
        </w:rPr>
        <w:t xml:space="preserve">for </w:t>
      </w:r>
      <w:r w:rsidRPr="003778E5">
        <w:rPr>
          <w:rFonts w:eastAsia="Arial" w:cs="Arial"/>
          <w:bCs/>
          <w:sz w:val="22"/>
        </w:rPr>
        <w:t xml:space="preserve">loss of reconciling items </w:t>
      </w:r>
      <w:r>
        <w:rPr>
          <w:rFonts w:eastAsia="Arial" w:cs="Arial"/>
          <w:bCs/>
          <w:sz w:val="22"/>
        </w:rPr>
        <w:t xml:space="preserve">for </w:t>
      </w:r>
      <w:r w:rsidRPr="003778E5">
        <w:rPr>
          <w:rFonts w:eastAsia="Arial" w:cs="Arial"/>
          <w:bCs/>
          <w:sz w:val="22"/>
        </w:rPr>
        <w:t xml:space="preserve">2010 to 2015 </w:t>
      </w:r>
      <w:r>
        <w:rPr>
          <w:rFonts w:eastAsia="Arial" w:cs="Arial"/>
          <w:bCs/>
          <w:sz w:val="22"/>
        </w:rPr>
        <w:t xml:space="preserve">performance </w:t>
      </w:r>
      <w:r w:rsidRPr="003778E5">
        <w:rPr>
          <w:rFonts w:eastAsia="Arial" w:cs="Arial"/>
          <w:bCs/>
          <w:sz w:val="22"/>
        </w:rPr>
        <w:t>included in the average bill in 2019/20 and the forecast impact of reconciling items for performance in 2015 to 2020 which reduces the average bill further.</w:t>
      </w:r>
    </w:p>
    <w:p w14:paraId="34D9A204" w14:textId="77777777" w:rsidR="003778E5" w:rsidRDefault="003778E5" w:rsidP="007A4C0A">
      <w:pPr>
        <w:numPr>
          <w:ilvl w:val="0"/>
          <w:numId w:val="11"/>
        </w:numPr>
        <w:pBdr>
          <w:left w:val="none" w:sz="0" w:space="7" w:color="auto"/>
        </w:pBdr>
        <w:spacing w:before="0" w:after="180" w:line="240" w:lineRule="auto"/>
        <w:jc w:val="both"/>
        <w:rPr>
          <w:sz w:val="22"/>
        </w:rPr>
      </w:pPr>
      <w:r w:rsidRPr="00806D28">
        <w:rPr>
          <w:rFonts w:eastAsia="Arial" w:cs="Arial"/>
          <w:bCs/>
          <w:sz w:val="22"/>
        </w:rPr>
        <w:t>Customer growth</w:t>
      </w:r>
      <w:r w:rsidRPr="00806D28">
        <w:rPr>
          <w:rFonts w:eastAsia="Arial" w:cs="Arial"/>
          <w:b/>
          <w:bCs/>
          <w:sz w:val="22"/>
        </w:rPr>
        <w:t xml:space="preserve"> </w:t>
      </w:r>
      <w:r>
        <w:rPr>
          <w:rFonts w:eastAsia="Arial" w:cs="Arial"/>
          <w:sz w:val="22"/>
        </w:rPr>
        <w:t>– we will have more customers by 2025 than we do now. The cost per customer decreases because the total costs are shared across more customers</w:t>
      </w:r>
    </w:p>
    <w:p w14:paraId="1C293757" w14:textId="688BA9A3" w:rsidR="003778E5" w:rsidRDefault="003778E5" w:rsidP="007A4C0A">
      <w:pPr>
        <w:numPr>
          <w:ilvl w:val="0"/>
          <w:numId w:val="11"/>
        </w:numPr>
        <w:pBdr>
          <w:left w:val="none" w:sz="0" w:space="7" w:color="auto"/>
        </w:pBdr>
        <w:spacing w:before="0" w:after="180" w:line="240" w:lineRule="auto"/>
        <w:jc w:val="both"/>
        <w:rPr>
          <w:sz w:val="22"/>
        </w:rPr>
      </w:pPr>
      <w:r w:rsidRPr="00806D28">
        <w:rPr>
          <w:rFonts w:eastAsia="Arial" w:cs="Arial"/>
          <w:bCs/>
          <w:sz w:val="22"/>
        </w:rPr>
        <w:t>Delivering our pledges</w:t>
      </w:r>
      <w:r w:rsidRPr="00806D28">
        <w:rPr>
          <w:rFonts w:eastAsia="Arial" w:cs="Arial"/>
          <w:b/>
          <w:bCs/>
          <w:sz w:val="22"/>
        </w:rPr>
        <w:t xml:space="preserve"> </w:t>
      </w:r>
      <w:r>
        <w:rPr>
          <w:rFonts w:eastAsia="Arial" w:cs="Arial"/>
          <w:sz w:val="22"/>
        </w:rPr>
        <w:t>– we are investing to deliver what matters most to our customers.</w:t>
      </w:r>
    </w:p>
    <w:p w14:paraId="27E3B789" w14:textId="5239212F" w:rsidR="007B3008" w:rsidRPr="007B3008" w:rsidRDefault="007B3008" w:rsidP="00F5161A">
      <w:pPr>
        <w:rPr>
          <w:rFonts w:eastAsia="MS Mincho" w:cs="Arial"/>
          <w:szCs w:val="24"/>
        </w:rPr>
      </w:pPr>
      <w:r>
        <w:rPr>
          <w:rFonts w:eastAsia="MS Mincho" w:cs="Arial"/>
          <w:szCs w:val="24"/>
        </w:rPr>
        <w:t xml:space="preserve">The chart above does not reflect the impact of the amount included in customers’ bills to fund the social tariff. If included the 2019/20 bill would be £200 and the 2024/25 bill would be £185. Chapter 2 (Our pledges, incentives and bills) of our plan explains this impact and presents a variation of this bill waterfall chart. </w:t>
      </w:r>
    </w:p>
    <w:p w14:paraId="606729AF" w14:textId="5D7C4E91" w:rsidR="00F5161A" w:rsidRDefault="00F5161A" w:rsidP="008D2010">
      <w:pPr>
        <w:pStyle w:val="Tableheading"/>
        <w:rPr>
          <w:rStyle w:val="Strong"/>
          <w:rFonts w:asciiTheme="minorHAnsi" w:eastAsiaTheme="minorEastAsia" w:hAnsiTheme="minorHAnsi" w:cstheme="minorBidi"/>
          <w:color w:val="auto"/>
        </w:rPr>
      </w:pPr>
      <w:r>
        <w:t>Customer Expectations</w:t>
      </w:r>
    </w:p>
    <w:p w14:paraId="2829CFA5" w14:textId="39884C39" w:rsidR="003D5D07" w:rsidRPr="003D5D07" w:rsidRDefault="003D5D07" w:rsidP="003D5D07">
      <w:pPr>
        <w:spacing w:after="240"/>
        <w:jc w:val="both"/>
        <w:rPr>
          <w:rFonts w:eastAsia="MS Mincho" w:cs="Arial"/>
          <w:szCs w:val="24"/>
        </w:rPr>
      </w:pPr>
      <w:bookmarkStart w:id="10" w:name="_Toc510692481"/>
      <w:r w:rsidRPr="003D5D07">
        <w:rPr>
          <w:rFonts w:eastAsia="MS Mincho" w:cs="Arial"/>
          <w:szCs w:val="24"/>
        </w:rPr>
        <w:t>Our engagement programme</w:t>
      </w:r>
      <w:r w:rsidR="00D229C1">
        <w:rPr>
          <w:rFonts w:eastAsia="MS Mincho" w:cs="Arial"/>
          <w:szCs w:val="24"/>
        </w:rPr>
        <w:t xml:space="preserve"> </w:t>
      </w:r>
      <w:r w:rsidRPr="003D5D07">
        <w:rPr>
          <w:rFonts w:eastAsia="MS Mincho" w:cs="Arial"/>
          <w:szCs w:val="24"/>
        </w:rPr>
        <w:t xml:space="preserve">provided a broad range of insight which has driven </w:t>
      </w:r>
      <w:r w:rsidR="0048567A">
        <w:rPr>
          <w:rFonts w:eastAsia="MS Mincho" w:cs="Arial"/>
          <w:szCs w:val="24"/>
        </w:rPr>
        <w:t>our</w:t>
      </w:r>
      <w:r w:rsidRPr="003D5D07">
        <w:rPr>
          <w:rFonts w:eastAsia="MS Mincho" w:cs="Arial"/>
          <w:szCs w:val="24"/>
        </w:rPr>
        <w:t xml:space="preserve"> </w:t>
      </w:r>
      <w:r w:rsidR="00DC3374">
        <w:rPr>
          <w:rFonts w:eastAsia="MS Mincho" w:cs="Arial"/>
          <w:szCs w:val="24"/>
        </w:rPr>
        <w:t xml:space="preserve">five </w:t>
      </w:r>
      <w:r w:rsidRPr="003D5D07">
        <w:rPr>
          <w:rFonts w:eastAsia="MS Mincho" w:cs="Arial"/>
          <w:szCs w:val="24"/>
        </w:rPr>
        <w:t xml:space="preserve">pledges and </w:t>
      </w:r>
      <w:r w:rsidR="00DC3374">
        <w:rPr>
          <w:rFonts w:eastAsia="MS Mincho" w:cs="Arial"/>
          <w:szCs w:val="24"/>
        </w:rPr>
        <w:t xml:space="preserve">24 </w:t>
      </w:r>
      <w:r w:rsidRPr="003D5D07">
        <w:rPr>
          <w:rFonts w:eastAsia="MS Mincho" w:cs="Arial"/>
          <w:szCs w:val="24"/>
        </w:rPr>
        <w:t>performance commitments.</w:t>
      </w:r>
      <w:r w:rsidR="00DC3374">
        <w:rPr>
          <w:rFonts w:eastAsia="MS Mincho" w:cs="Arial"/>
          <w:szCs w:val="24"/>
        </w:rPr>
        <w:t xml:space="preserve"> We </w:t>
      </w:r>
      <w:r w:rsidRPr="003D5D07">
        <w:rPr>
          <w:rFonts w:eastAsia="MS Mincho" w:cs="Arial"/>
          <w:szCs w:val="24"/>
        </w:rPr>
        <w:t>have seen subtle movements in</w:t>
      </w:r>
      <w:r w:rsidR="00C9549E">
        <w:rPr>
          <w:rFonts w:eastAsia="MS Mincho" w:cs="Arial"/>
          <w:szCs w:val="24"/>
        </w:rPr>
        <w:t xml:space="preserve"> </w:t>
      </w:r>
      <w:r w:rsidRPr="003D5D07">
        <w:rPr>
          <w:rFonts w:eastAsia="MS Mincho" w:cs="Arial"/>
          <w:szCs w:val="24"/>
        </w:rPr>
        <w:t>customers</w:t>
      </w:r>
      <w:r w:rsidR="00C9549E">
        <w:rPr>
          <w:rFonts w:eastAsia="MS Mincho" w:cs="Arial"/>
          <w:szCs w:val="24"/>
        </w:rPr>
        <w:t>’</w:t>
      </w:r>
      <w:r w:rsidRPr="003D5D07">
        <w:rPr>
          <w:rFonts w:eastAsia="MS Mincho" w:cs="Arial"/>
          <w:szCs w:val="24"/>
        </w:rPr>
        <w:t xml:space="preserve"> and </w:t>
      </w:r>
      <w:r w:rsidR="00C9549E">
        <w:rPr>
          <w:rFonts w:eastAsia="MS Mincho" w:cs="Arial"/>
          <w:szCs w:val="24"/>
        </w:rPr>
        <w:t>stakeholders’ priorities</w:t>
      </w:r>
      <w:r w:rsidRPr="003D5D07">
        <w:rPr>
          <w:rFonts w:eastAsia="MS Mincho" w:cs="Arial"/>
          <w:szCs w:val="24"/>
        </w:rPr>
        <w:t xml:space="preserve"> </w:t>
      </w:r>
      <w:r w:rsidR="00C9549E">
        <w:rPr>
          <w:rFonts w:eastAsia="MS Mincho" w:cs="Arial"/>
          <w:szCs w:val="24"/>
        </w:rPr>
        <w:t>b</w:t>
      </w:r>
      <w:r w:rsidRPr="003D5D07">
        <w:rPr>
          <w:rFonts w:eastAsia="MS Mincho" w:cs="Arial"/>
          <w:szCs w:val="24"/>
        </w:rPr>
        <w:t>ut the core expectation</w:t>
      </w:r>
      <w:r w:rsidR="00C9549E">
        <w:rPr>
          <w:rFonts w:eastAsia="MS Mincho" w:cs="Arial"/>
          <w:szCs w:val="24"/>
        </w:rPr>
        <w:t xml:space="preserve"> </w:t>
      </w:r>
      <w:r w:rsidRPr="003D5D07">
        <w:rPr>
          <w:rFonts w:eastAsia="MS Mincho" w:cs="Arial"/>
          <w:szCs w:val="24"/>
        </w:rPr>
        <w:t>remains the same</w:t>
      </w:r>
      <w:r w:rsidR="00DC3374">
        <w:rPr>
          <w:rFonts w:eastAsia="MS Mincho" w:cs="Arial"/>
          <w:szCs w:val="24"/>
        </w:rPr>
        <w:t xml:space="preserve"> </w:t>
      </w:r>
      <w:r w:rsidRPr="003D5D07">
        <w:rPr>
          <w:rFonts w:eastAsia="MS Mincho" w:cs="Arial"/>
          <w:szCs w:val="24"/>
        </w:rPr>
        <w:t xml:space="preserve">– delivery of high quality water all day, every day. </w:t>
      </w:r>
    </w:p>
    <w:p w14:paraId="7E8DF3CD" w14:textId="27B96139" w:rsidR="00DC3374" w:rsidRPr="00DC3374" w:rsidRDefault="00DC3374" w:rsidP="00DC3374">
      <w:pPr>
        <w:spacing w:after="240"/>
        <w:jc w:val="both"/>
        <w:rPr>
          <w:rFonts w:eastAsia="MS Mincho" w:cs="Arial"/>
          <w:szCs w:val="24"/>
        </w:rPr>
      </w:pPr>
      <w:r w:rsidRPr="00DC3374">
        <w:rPr>
          <w:rFonts w:eastAsia="MS Mincho" w:cs="Arial"/>
          <w:szCs w:val="24"/>
        </w:rPr>
        <w:t>Customers</w:t>
      </w:r>
      <w:r w:rsidR="00C9549E">
        <w:rPr>
          <w:rFonts w:eastAsia="MS Mincho" w:cs="Arial"/>
          <w:szCs w:val="24"/>
        </w:rPr>
        <w:t xml:space="preserve"> </w:t>
      </w:r>
      <w:r w:rsidRPr="00DC3374">
        <w:rPr>
          <w:rFonts w:eastAsia="MS Mincho" w:cs="Arial"/>
          <w:szCs w:val="24"/>
        </w:rPr>
        <w:t xml:space="preserve">told us that </w:t>
      </w:r>
      <w:r w:rsidR="0048567A">
        <w:rPr>
          <w:rFonts w:eastAsia="MS Mincho" w:cs="Arial"/>
          <w:szCs w:val="24"/>
        </w:rPr>
        <w:t xml:space="preserve">this </w:t>
      </w:r>
      <w:r w:rsidRPr="00DC3374">
        <w:rPr>
          <w:rFonts w:eastAsia="MS Mincho" w:cs="Arial"/>
          <w:szCs w:val="24"/>
        </w:rPr>
        <w:t xml:space="preserve">is their number one priority and breaks in their supply are inconvenient. That’s why we’re pledging to continue to provide water of the highest quality and reduce the risk of supplies being interrupted. For the first time we </w:t>
      </w:r>
      <w:r w:rsidR="00D6347A">
        <w:rPr>
          <w:rFonts w:eastAsia="MS Mincho" w:cs="Arial"/>
          <w:szCs w:val="24"/>
        </w:rPr>
        <w:t xml:space="preserve">will </w:t>
      </w:r>
      <w:r w:rsidRPr="00DC3374">
        <w:rPr>
          <w:rFonts w:eastAsia="MS Mincho" w:cs="Arial"/>
          <w:szCs w:val="24"/>
        </w:rPr>
        <w:t xml:space="preserve">also </w:t>
      </w:r>
      <w:r w:rsidR="00D6347A">
        <w:rPr>
          <w:rFonts w:eastAsia="MS Mincho" w:cs="Arial"/>
          <w:szCs w:val="24"/>
        </w:rPr>
        <w:t xml:space="preserve">be monitoring </w:t>
      </w:r>
      <w:r w:rsidRPr="00DC3374">
        <w:rPr>
          <w:rFonts w:eastAsia="MS Mincho" w:cs="Arial"/>
          <w:szCs w:val="24"/>
        </w:rPr>
        <w:t>customer confidence</w:t>
      </w:r>
      <w:r w:rsidR="00D6347A">
        <w:rPr>
          <w:rFonts w:eastAsia="MS Mincho" w:cs="Arial"/>
          <w:szCs w:val="24"/>
        </w:rPr>
        <w:t xml:space="preserve"> and are committed to ensuring that it is high</w:t>
      </w:r>
      <w:r w:rsidRPr="00DC3374">
        <w:rPr>
          <w:rFonts w:eastAsia="MS Mincho" w:cs="Arial"/>
          <w:szCs w:val="24"/>
        </w:rPr>
        <w:t>.</w:t>
      </w:r>
    </w:p>
    <w:p w14:paraId="6E785E7D" w14:textId="1EA83303" w:rsidR="00DC3374" w:rsidRPr="00DC3374" w:rsidRDefault="00DC3374" w:rsidP="00DC3374">
      <w:pPr>
        <w:spacing w:after="240"/>
        <w:jc w:val="both"/>
        <w:rPr>
          <w:rFonts w:eastAsia="MS Mincho" w:cs="Arial"/>
          <w:szCs w:val="24"/>
        </w:rPr>
      </w:pPr>
      <w:r w:rsidRPr="00DC3374">
        <w:rPr>
          <w:rFonts w:eastAsia="MS Mincho" w:cs="Arial"/>
          <w:szCs w:val="24"/>
        </w:rPr>
        <w:t>Customers have told us that money worries or personal circumstances can make paying for their water harder so they would welcome some extra support.</w:t>
      </w:r>
      <w:r>
        <w:rPr>
          <w:rFonts w:eastAsia="MS Mincho" w:cs="Arial"/>
          <w:szCs w:val="24"/>
        </w:rPr>
        <w:t xml:space="preserve"> </w:t>
      </w:r>
      <w:r w:rsidRPr="00DC3374">
        <w:rPr>
          <w:rFonts w:eastAsia="MS Mincho" w:cs="Arial"/>
          <w:szCs w:val="24"/>
        </w:rPr>
        <w:t>That’s why we’re pledging to ensure bills are fair for everybody</w:t>
      </w:r>
      <w:r w:rsidR="0048567A">
        <w:rPr>
          <w:rFonts w:eastAsia="MS Mincho" w:cs="Arial"/>
          <w:szCs w:val="24"/>
        </w:rPr>
        <w:t xml:space="preserve"> </w:t>
      </w:r>
      <w:r w:rsidRPr="00DC3374">
        <w:rPr>
          <w:rFonts w:eastAsia="MS Mincho" w:cs="Arial"/>
          <w:szCs w:val="24"/>
        </w:rPr>
        <w:t xml:space="preserve">and we will increase the help we offer to those that genuinely need it. </w:t>
      </w:r>
    </w:p>
    <w:p w14:paraId="07202EA6" w14:textId="38B593CD" w:rsidR="00DC3374" w:rsidRPr="00DC3374" w:rsidRDefault="00DC3374" w:rsidP="00DC3374">
      <w:pPr>
        <w:spacing w:after="240"/>
        <w:jc w:val="both"/>
        <w:rPr>
          <w:rFonts w:eastAsia="MS Mincho" w:cs="Arial"/>
          <w:szCs w:val="24"/>
        </w:rPr>
      </w:pPr>
      <w:r w:rsidRPr="00DC3374">
        <w:rPr>
          <w:rFonts w:eastAsia="MS Mincho" w:cs="Arial"/>
          <w:szCs w:val="24"/>
        </w:rPr>
        <w:t>Customers have told us that a resilient supply of water is very important and making sure water is not wasted – particularly from leaking pipes – is a big deal.</w:t>
      </w:r>
      <w:r>
        <w:rPr>
          <w:rFonts w:eastAsia="MS Mincho" w:cs="Arial"/>
          <w:szCs w:val="24"/>
        </w:rPr>
        <w:t xml:space="preserve"> </w:t>
      </w:r>
      <w:r w:rsidRPr="00DC3374">
        <w:rPr>
          <w:rFonts w:eastAsia="MS Mincho" w:cs="Arial"/>
          <w:szCs w:val="24"/>
        </w:rPr>
        <w:t>That’s why we’re pledging to continue investing in our assets and to reduce leakage to a more acceptable level.</w:t>
      </w:r>
    </w:p>
    <w:p w14:paraId="36DAA4F3" w14:textId="36FD2728" w:rsidR="00DC3374" w:rsidRPr="00DC3374" w:rsidRDefault="00DC3374" w:rsidP="00DC3374">
      <w:pPr>
        <w:spacing w:after="240"/>
        <w:jc w:val="both"/>
        <w:rPr>
          <w:rFonts w:eastAsia="MS Mincho" w:cs="Arial"/>
          <w:szCs w:val="24"/>
        </w:rPr>
      </w:pPr>
      <w:r w:rsidRPr="00DC3374">
        <w:rPr>
          <w:rFonts w:eastAsia="MS Mincho" w:cs="Arial"/>
          <w:szCs w:val="24"/>
        </w:rPr>
        <w:t>Customers have told us that although they may not need to contact us very often, when they do it needs to be an effortless experience that is tailored to them.</w:t>
      </w:r>
      <w:r>
        <w:rPr>
          <w:rFonts w:eastAsia="MS Mincho" w:cs="Arial"/>
          <w:szCs w:val="24"/>
        </w:rPr>
        <w:t xml:space="preserve"> </w:t>
      </w:r>
      <w:r w:rsidRPr="00DC3374">
        <w:rPr>
          <w:rFonts w:eastAsia="MS Mincho" w:cs="Arial"/>
          <w:szCs w:val="24"/>
        </w:rPr>
        <w:t>That’s why we’re pledging to improve satisfaction and to strive for more queries to be answered first time, every time.</w:t>
      </w:r>
    </w:p>
    <w:p w14:paraId="2CA8A4F6" w14:textId="2C482CC2" w:rsidR="00DC3374" w:rsidRPr="00AC5BA8" w:rsidRDefault="00DC3374" w:rsidP="00DC3374">
      <w:pPr>
        <w:spacing w:after="240"/>
        <w:jc w:val="both"/>
        <w:rPr>
          <w:rFonts w:eastAsia="MS Mincho" w:cs="Arial"/>
          <w:sz w:val="22"/>
        </w:rPr>
      </w:pPr>
      <w:r w:rsidRPr="00DC3374">
        <w:rPr>
          <w:rFonts w:eastAsia="MS Mincho" w:cs="Arial"/>
          <w:szCs w:val="24"/>
        </w:rPr>
        <w:lastRenderedPageBreak/>
        <w:t>Customers value the environment and expect us to play a part in making it better, as well as prepare for future challenges like population growth and climate change.</w:t>
      </w:r>
      <w:r>
        <w:rPr>
          <w:rFonts w:eastAsia="MS Mincho" w:cs="Arial"/>
          <w:szCs w:val="24"/>
        </w:rPr>
        <w:t xml:space="preserve"> </w:t>
      </w:r>
      <w:r w:rsidRPr="00DC3374">
        <w:rPr>
          <w:rFonts w:eastAsia="MS Mincho" w:cs="Arial"/>
          <w:szCs w:val="24"/>
        </w:rPr>
        <w:t>That’s why we’re pledging to take less water from the environment by encouraging our customers to use less water and reduc</w:t>
      </w:r>
      <w:r w:rsidR="00C9549E">
        <w:rPr>
          <w:rFonts w:eastAsia="MS Mincho" w:cs="Arial"/>
          <w:szCs w:val="24"/>
        </w:rPr>
        <w:t xml:space="preserve">ing </w:t>
      </w:r>
      <w:r w:rsidR="0048567A">
        <w:rPr>
          <w:rFonts w:eastAsia="MS Mincho" w:cs="Arial"/>
          <w:szCs w:val="24"/>
        </w:rPr>
        <w:t xml:space="preserve">our </w:t>
      </w:r>
      <w:r w:rsidRPr="00DC3374">
        <w:rPr>
          <w:rFonts w:eastAsia="MS Mincho" w:cs="Arial"/>
          <w:szCs w:val="24"/>
        </w:rPr>
        <w:t xml:space="preserve">impact by finding more sustainable ways of </w:t>
      </w:r>
      <w:r w:rsidR="0048567A">
        <w:rPr>
          <w:rFonts w:eastAsia="MS Mincho" w:cs="Arial"/>
          <w:szCs w:val="24"/>
        </w:rPr>
        <w:t>operating.</w:t>
      </w:r>
    </w:p>
    <w:p w14:paraId="42DEB702" w14:textId="59D9408B" w:rsidR="00774B66" w:rsidRDefault="00774B66" w:rsidP="00DC3374">
      <w:pPr>
        <w:spacing w:before="0" w:after="200" w:line="276" w:lineRule="auto"/>
        <w:rPr>
          <w:rStyle w:val="Strong"/>
          <w:rFonts w:ascii="Franklin Gothic Demi" w:eastAsia="Times New Roman" w:hAnsi="Franklin Gothic Demi" w:cs="Arial"/>
          <w:color w:val="003479"/>
          <w:szCs w:val="24"/>
          <w:lang w:val="en" w:eastAsia="en-GB"/>
        </w:rPr>
      </w:pPr>
      <w:r>
        <w:rPr>
          <w:rStyle w:val="Strong"/>
          <w:rFonts w:ascii="Franklin Gothic Demi" w:hAnsi="Franklin Gothic Demi"/>
          <w:color w:val="003479"/>
        </w:rPr>
        <w:br w:type="page"/>
      </w:r>
    </w:p>
    <w:p w14:paraId="36BF06B3" w14:textId="1FE8D922" w:rsidR="0069738E" w:rsidRPr="0069738E" w:rsidRDefault="00716C01" w:rsidP="008D2010">
      <w:pPr>
        <w:pStyle w:val="Tableheading"/>
      </w:pPr>
      <w:r w:rsidRPr="008D2010">
        <w:rPr>
          <w:rStyle w:val="Strong"/>
          <w:rFonts w:ascii="Franklin Gothic Demi" w:hAnsi="Franklin Gothic Demi"/>
          <w:color w:val="003479"/>
        </w:rPr>
        <w:lastRenderedPageBreak/>
        <w:t>T</w:t>
      </w:r>
      <w:r w:rsidR="004B5A05">
        <w:rPr>
          <w:rStyle w:val="Strong"/>
          <w:rFonts w:ascii="Franklin Gothic Demi" w:hAnsi="Franklin Gothic Demi"/>
          <w:color w:val="003479"/>
        </w:rPr>
        <w:t>able 2</w:t>
      </w:r>
      <w:r w:rsidR="007F3EBC" w:rsidRPr="008D2010">
        <w:rPr>
          <w:rStyle w:val="Strong"/>
          <w:rFonts w:ascii="Franklin Gothic Demi" w:hAnsi="Franklin Gothic Demi"/>
          <w:color w:val="003479"/>
        </w:rPr>
        <w:t>.2</w:t>
      </w:r>
      <w:r w:rsidRPr="008D2010">
        <w:rPr>
          <w:rStyle w:val="Strong"/>
          <w:rFonts w:ascii="Franklin Gothic Demi" w:hAnsi="Franklin Gothic Demi"/>
          <w:color w:val="003479"/>
        </w:rPr>
        <w:t xml:space="preserve">: Key </w:t>
      </w:r>
      <w:r w:rsidR="00A37973" w:rsidRPr="008D2010">
        <w:rPr>
          <w:rStyle w:val="Strong"/>
          <w:rFonts w:ascii="Franklin Gothic Demi" w:hAnsi="Franklin Gothic Demi"/>
          <w:color w:val="003479"/>
        </w:rPr>
        <w:t>business plan</w:t>
      </w:r>
      <w:r w:rsidRPr="008D2010">
        <w:rPr>
          <w:rStyle w:val="Strong"/>
          <w:rFonts w:ascii="Franklin Gothic Demi" w:hAnsi="Franklin Gothic Demi"/>
          <w:color w:val="003479"/>
        </w:rPr>
        <w:t xml:space="preserve"> metrics</w:t>
      </w:r>
      <w:bookmarkEnd w:id="10"/>
    </w:p>
    <w:tbl>
      <w:tblPr>
        <w:tblStyle w:val="Ofwatnew"/>
        <w:tblW w:w="5000" w:type="pct"/>
        <w:tblLayout w:type="fixed"/>
        <w:tblLook w:val="04A0" w:firstRow="1" w:lastRow="0" w:firstColumn="1" w:lastColumn="0" w:noHBand="0" w:noVBand="1"/>
      </w:tblPr>
      <w:tblGrid>
        <w:gridCol w:w="3659"/>
        <w:gridCol w:w="1861"/>
        <w:gridCol w:w="1748"/>
        <w:gridCol w:w="1748"/>
      </w:tblGrid>
      <w:tr w:rsidR="00F1758B" w:rsidRPr="004E411A" w14:paraId="0203A895" w14:textId="1040CA89" w:rsidTr="006C388E">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3756" w:type="dxa"/>
          </w:tcPr>
          <w:p w14:paraId="7AC8436B" w14:textId="31191253" w:rsidR="00F1758B" w:rsidRPr="008D2010" w:rsidRDefault="00F1758B" w:rsidP="008D2010">
            <w:pPr>
              <w:pStyle w:val="Tabledescriptorcell1"/>
              <w:rPr>
                <w:rStyle w:val="Strong"/>
                <w:rFonts w:ascii="Franklin Gothic Demi" w:hAnsi="Franklin Gothic Demi"/>
                <w:color w:val="0078D2"/>
              </w:rPr>
            </w:pPr>
            <w:r w:rsidRPr="008D2010">
              <w:rPr>
                <w:rStyle w:val="Strong"/>
                <w:rFonts w:ascii="Franklin Gothic Demi" w:hAnsi="Franklin Gothic Demi"/>
                <w:color w:val="0078D2"/>
              </w:rPr>
              <w:t>Metric</w:t>
            </w:r>
          </w:p>
        </w:tc>
        <w:tc>
          <w:tcPr>
            <w:tcW w:w="1906" w:type="dxa"/>
          </w:tcPr>
          <w:p w14:paraId="0F39B3D3" w14:textId="77777777"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PR14 (2019-20)</w:t>
            </w:r>
          </w:p>
          <w:p w14:paraId="6FCF5954" w14:textId="0CB311DE"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 xml:space="preserve">31 March 2020 estimate </w:t>
            </w:r>
          </w:p>
        </w:tc>
        <w:tc>
          <w:tcPr>
            <w:tcW w:w="1790" w:type="dxa"/>
          </w:tcPr>
          <w:p w14:paraId="4CC11AD2" w14:textId="77777777"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PR19 (2024-25)</w:t>
            </w:r>
          </w:p>
          <w:p w14:paraId="00A2D64B" w14:textId="4C891C06" w:rsidR="00F1758B" w:rsidRPr="004448A4"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4448A4">
              <w:rPr>
                <w:rStyle w:val="Strong"/>
                <w:rFonts w:ascii="Franklin Gothic Demi" w:hAnsi="Franklin Gothic Demi"/>
                <w:color w:val="0078D2"/>
              </w:rPr>
              <w:t>31 March 2025 estimate</w:t>
            </w:r>
          </w:p>
        </w:tc>
        <w:tc>
          <w:tcPr>
            <w:tcW w:w="1790" w:type="dxa"/>
          </w:tcPr>
          <w:p w14:paraId="7D9540A0" w14:textId="52AF3758" w:rsidR="00F1758B"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xml:space="preserve">2019-20 to 2024-25 </w:t>
            </w:r>
          </w:p>
          <w:p w14:paraId="0007CF33" w14:textId="77777777" w:rsidR="00F1758B" w:rsidRDefault="00F1758B"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change</w:t>
            </w:r>
          </w:p>
          <w:p w14:paraId="20A6978E" w14:textId="74762F4A" w:rsidR="00F1758B" w:rsidRPr="00F1758B" w:rsidRDefault="00E1622F" w:rsidP="008D2010">
            <w:pPr>
              <w:pStyle w:val="Tabledescriptorcell1"/>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color w:val="0078D2"/>
                <w:sz w:val="20"/>
              </w:rPr>
            </w:pPr>
            <w:r>
              <w:rPr>
                <w:rStyle w:val="Strong"/>
                <w:rFonts w:asciiTheme="minorHAnsi" w:hAnsiTheme="minorHAnsi" w:cstheme="minorHAnsi"/>
                <w:color w:val="0078D2"/>
                <w:sz w:val="20"/>
              </w:rPr>
              <w:t>(leakage and PCC</w:t>
            </w:r>
            <w:r w:rsidR="00F1758B" w:rsidRPr="00F1758B">
              <w:rPr>
                <w:rStyle w:val="Strong"/>
                <w:rFonts w:asciiTheme="minorHAnsi" w:hAnsiTheme="minorHAnsi" w:cstheme="minorHAnsi"/>
                <w:color w:val="0078D2"/>
                <w:sz w:val="20"/>
              </w:rPr>
              <w:t>)</w:t>
            </w:r>
          </w:p>
        </w:tc>
      </w:tr>
      <w:tr w:rsidR="006C388E" w:rsidRPr="004E411A" w14:paraId="4884DC55" w14:textId="388CB66C" w:rsidTr="00E64F20">
        <w:trPr>
          <w:cnfStyle w:val="000000100000" w:firstRow="0" w:lastRow="0" w:firstColumn="0" w:lastColumn="0" w:oddVBand="0" w:evenVBand="0" w:oddHBand="1" w:evenHBand="0" w:firstRowFirstColumn="0" w:firstRowLastColumn="0" w:lastRowFirstColumn="0" w:lastRowLastColumn="0"/>
          <w:cantSplit/>
        </w:trPr>
        <w:tc>
          <w:tcPr>
            <w:tcW w:w="3756" w:type="dxa"/>
          </w:tcPr>
          <w:p w14:paraId="61670B7C" w14:textId="66EE45A2" w:rsidR="006C388E" w:rsidRPr="00007BDD" w:rsidRDefault="006C388E" w:rsidP="008D2010">
            <w:pPr>
              <w:pStyle w:val="Tableparagraph"/>
              <w:rPr>
                <w:rStyle w:val="Strong"/>
                <w:rFonts w:ascii="Arial" w:hAnsi="Arial"/>
                <w:color w:val="auto"/>
                <w:sz w:val="20"/>
                <w:szCs w:val="20"/>
              </w:rPr>
            </w:pPr>
            <w:r w:rsidRPr="00007BDD">
              <w:rPr>
                <w:rStyle w:val="Strong"/>
                <w:rFonts w:ascii="Arial" w:hAnsi="Arial"/>
                <w:color w:val="auto"/>
                <w:sz w:val="20"/>
                <w:szCs w:val="20"/>
              </w:rPr>
              <w:t>Number of residential water</w:t>
            </w:r>
            <w:r>
              <w:rPr>
                <w:rStyle w:val="Strong"/>
                <w:rFonts w:ascii="Arial" w:hAnsi="Arial"/>
                <w:color w:val="auto"/>
                <w:sz w:val="20"/>
                <w:szCs w:val="20"/>
              </w:rPr>
              <w:t xml:space="preserve"> only</w:t>
            </w:r>
            <w:r w:rsidRPr="00007BDD">
              <w:rPr>
                <w:rStyle w:val="Strong"/>
                <w:rFonts w:ascii="Arial" w:hAnsi="Arial"/>
                <w:color w:val="auto"/>
                <w:sz w:val="20"/>
                <w:szCs w:val="20"/>
              </w:rPr>
              <w:t xml:space="preserve"> customers (000s)</w:t>
            </w:r>
          </w:p>
        </w:tc>
        <w:tc>
          <w:tcPr>
            <w:tcW w:w="1906" w:type="dxa"/>
            <w:vAlign w:val="center"/>
          </w:tcPr>
          <w:p w14:paraId="49307198" w14:textId="025A7F0B" w:rsidR="006C388E" w:rsidRPr="00007BDD" w:rsidRDefault="006C388E" w:rsidP="006C388E">
            <w:pPr>
              <w:pStyle w:val="Tableparagraph"/>
              <w:jc w:val="center"/>
              <w:rPr>
                <w:rStyle w:val="Strong"/>
                <w:rFonts w:ascii="Arial" w:hAnsi="Arial"/>
                <w:noProof w:val="0"/>
                <w:color w:val="auto"/>
                <w:sz w:val="20"/>
                <w:szCs w:val="20"/>
              </w:rPr>
            </w:pPr>
            <w:r>
              <w:rPr>
                <w:rFonts w:cs="Arial"/>
                <w:color w:val="000000"/>
                <w:sz w:val="18"/>
                <w:szCs w:val="18"/>
              </w:rPr>
              <w:t>274.236</w:t>
            </w:r>
          </w:p>
        </w:tc>
        <w:tc>
          <w:tcPr>
            <w:tcW w:w="1790" w:type="dxa"/>
            <w:vAlign w:val="center"/>
          </w:tcPr>
          <w:p w14:paraId="6282A1C5" w14:textId="0DD20603"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286.862</w:t>
            </w:r>
          </w:p>
        </w:tc>
        <w:tc>
          <w:tcPr>
            <w:tcW w:w="1790" w:type="dxa"/>
            <w:vMerge w:val="restart"/>
            <w:shd w:val="clear" w:color="auto" w:fill="E7E2DE" w:themeFill="accent2" w:themeFillTint="33"/>
          </w:tcPr>
          <w:p w14:paraId="05413DD6" w14:textId="77777777" w:rsidR="006C388E" w:rsidRPr="00007BDD" w:rsidRDefault="006C388E" w:rsidP="006C388E">
            <w:pPr>
              <w:pStyle w:val="Tableparagraph"/>
              <w:jc w:val="center"/>
              <w:rPr>
                <w:rStyle w:val="Strong"/>
                <w:rFonts w:ascii="Arial" w:hAnsi="Arial"/>
                <w:color w:val="auto"/>
                <w:sz w:val="20"/>
                <w:szCs w:val="20"/>
              </w:rPr>
            </w:pPr>
          </w:p>
          <w:p w14:paraId="32EDE0BB" w14:textId="77777777" w:rsidR="006C388E" w:rsidRPr="00007BDD" w:rsidRDefault="006C388E" w:rsidP="006C388E">
            <w:pPr>
              <w:pStyle w:val="Tableparagraph"/>
              <w:jc w:val="center"/>
              <w:rPr>
                <w:rStyle w:val="Strong"/>
                <w:rFonts w:ascii="Arial" w:hAnsi="Arial"/>
                <w:color w:val="auto"/>
                <w:sz w:val="20"/>
                <w:szCs w:val="20"/>
              </w:rPr>
            </w:pPr>
          </w:p>
          <w:p w14:paraId="093F1817" w14:textId="11A04C4D" w:rsidR="006C388E" w:rsidRPr="00007BDD" w:rsidRDefault="006C388E" w:rsidP="006C388E">
            <w:pPr>
              <w:pStyle w:val="Tableparagraph"/>
              <w:jc w:val="center"/>
              <w:rPr>
                <w:rStyle w:val="Strong"/>
                <w:rFonts w:ascii="Arial" w:hAnsi="Arial"/>
                <w:color w:val="auto"/>
                <w:sz w:val="20"/>
                <w:szCs w:val="20"/>
              </w:rPr>
            </w:pPr>
          </w:p>
        </w:tc>
      </w:tr>
      <w:tr w:rsidR="006C388E" w:rsidRPr="004E411A" w14:paraId="43D9403C" w14:textId="5FFA2E6B" w:rsidTr="006C388E">
        <w:trPr>
          <w:cnfStyle w:val="000000010000" w:firstRow="0" w:lastRow="0" w:firstColumn="0" w:lastColumn="0" w:oddVBand="0" w:evenVBand="0" w:oddHBand="0" w:evenHBand="1" w:firstRowFirstColumn="0" w:firstRowLastColumn="0" w:lastRowFirstColumn="0" w:lastRowLastColumn="0"/>
          <w:cantSplit/>
        </w:trPr>
        <w:tc>
          <w:tcPr>
            <w:tcW w:w="3756" w:type="dxa"/>
            <w:shd w:val="clear" w:color="auto" w:fill="BFBFBF" w:themeFill="background1" w:themeFillShade="BF"/>
          </w:tcPr>
          <w:p w14:paraId="2C057395" w14:textId="22069AEB" w:rsidR="006C388E" w:rsidRPr="00007BDD" w:rsidRDefault="006C388E" w:rsidP="008D2010">
            <w:pPr>
              <w:pStyle w:val="Tableparagraph"/>
              <w:rPr>
                <w:rStyle w:val="Strong"/>
                <w:rFonts w:ascii="Arial" w:hAnsi="Arial"/>
                <w:color w:val="auto"/>
                <w:sz w:val="20"/>
                <w:szCs w:val="20"/>
              </w:rPr>
            </w:pPr>
            <w:r w:rsidRPr="00007BDD">
              <w:rPr>
                <w:rStyle w:val="Strong"/>
                <w:rFonts w:ascii="Arial" w:hAnsi="Arial"/>
                <w:color w:val="auto"/>
                <w:sz w:val="20"/>
                <w:szCs w:val="20"/>
              </w:rPr>
              <w:t xml:space="preserve">Number of residential wastewater </w:t>
            </w:r>
            <w:r>
              <w:rPr>
                <w:rStyle w:val="Strong"/>
                <w:rFonts w:ascii="Arial" w:hAnsi="Arial"/>
                <w:color w:val="auto"/>
                <w:sz w:val="20"/>
                <w:szCs w:val="20"/>
              </w:rPr>
              <w:t xml:space="preserve">only </w:t>
            </w:r>
            <w:r w:rsidRPr="00007BDD">
              <w:rPr>
                <w:rStyle w:val="Strong"/>
                <w:rFonts w:ascii="Arial" w:hAnsi="Arial"/>
                <w:color w:val="auto"/>
                <w:sz w:val="20"/>
                <w:szCs w:val="20"/>
              </w:rPr>
              <w:t>customers (000s)</w:t>
            </w:r>
          </w:p>
        </w:tc>
        <w:tc>
          <w:tcPr>
            <w:tcW w:w="1906" w:type="dxa"/>
            <w:shd w:val="clear" w:color="auto" w:fill="BFBFBF" w:themeFill="background1" w:themeFillShade="BF"/>
            <w:vAlign w:val="center"/>
          </w:tcPr>
          <w:p w14:paraId="682FF8A3" w14:textId="2BC18BC4" w:rsidR="006C388E" w:rsidRPr="00007BDD" w:rsidRDefault="006C388E" w:rsidP="006C388E">
            <w:pPr>
              <w:pStyle w:val="Tableparagraph"/>
              <w:jc w:val="center"/>
              <w:rPr>
                <w:rStyle w:val="Strong"/>
                <w:rFonts w:ascii="Arial" w:hAnsi="Arial"/>
                <w:color w:val="auto"/>
                <w:sz w:val="20"/>
                <w:szCs w:val="20"/>
              </w:rPr>
            </w:pPr>
          </w:p>
        </w:tc>
        <w:tc>
          <w:tcPr>
            <w:tcW w:w="1790" w:type="dxa"/>
            <w:shd w:val="clear" w:color="auto" w:fill="BFBFBF" w:themeFill="background1" w:themeFillShade="BF"/>
            <w:vAlign w:val="center"/>
          </w:tcPr>
          <w:p w14:paraId="1362796F" w14:textId="3B1BAF0D" w:rsidR="006C388E" w:rsidRPr="00007BDD" w:rsidRDefault="006C388E" w:rsidP="006C388E">
            <w:pPr>
              <w:pStyle w:val="Tableparagraph"/>
              <w:jc w:val="center"/>
              <w:rPr>
                <w:rStyle w:val="Strong"/>
                <w:rFonts w:ascii="Arial" w:hAnsi="Arial"/>
                <w:color w:val="auto"/>
                <w:sz w:val="20"/>
                <w:szCs w:val="20"/>
              </w:rPr>
            </w:pPr>
          </w:p>
        </w:tc>
        <w:tc>
          <w:tcPr>
            <w:tcW w:w="1790" w:type="dxa"/>
            <w:vMerge/>
            <w:shd w:val="clear" w:color="auto" w:fill="E7E2DE" w:themeFill="accent2" w:themeFillTint="33"/>
          </w:tcPr>
          <w:p w14:paraId="1BD3986A" w14:textId="3926FC52" w:rsidR="006C388E" w:rsidRPr="00007BDD" w:rsidRDefault="006C388E" w:rsidP="006C388E">
            <w:pPr>
              <w:pStyle w:val="Tableparagraph"/>
              <w:jc w:val="center"/>
              <w:rPr>
                <w:rStyle w:val="Strong"/>
                <w:rFonts w:ascii="Arial" w:hAnsi="Arial"/>
                <w:color w:val="auto"/>
                <w:sz w:val="20"/>
                <w:szCs w:val="20"/>
              </w:rPr>
            </w:pPr>
          </w:p>
        </w:tc>
      </w:tr>
      <w:tr w:rsidR="006C388E" w:rsidRPr="004E411A" w14:paraId="54C4AE9B" w14:textId="432D2AA5" w:rsidTr="006C388E">
        <w:trPr>
          <w:cnfStyle w:val="000000100000" w:firstRow="0" w:lastRow="0" w:firstColumn="0" w:lastColumn="0" w:oddVBand="0" w:evenVBand="0" w:oddHBand="1" w:evenHBand="0" w:firstRowFirstColumn="0" w:firstRowLastColumn="0" w:lastRowFirstColumn="0" w:lastRowLastColumn="0"/>
          <w:cantSplit/>
        </w:trPr>
        <w:tc>
          <w:tcPr>
            <w:tcW w:w="3756" w:type="dxa"/>
            <w:shd w:val="clear" w:color="auto" w:fill="BFBFBF" w:themeFill="background1" w:themeFillShade="BF"/>
          </w:tcPr>
          <w:p w14:paraId="65BC7E86" w14:textId="7BF9CDB3" w:rsidR="006C388E" w:rsidRPr="00007BDD" w:rsidRDefault="006C388E" w:rsidP="00DB57C7">
            <w:pPr>
              <w:pStyle w:val="Tableparagraph"/>
              <w:rPr>
                <w:rStyle w:val="Strong"/>
                <w:rFonts w:ascii="Arial" w:hAnsi="Arial"/>
                <w:color w:val="auto"/>
                <w:sz w:val="20"/>
                <w:szCs w:val="20"/>
              </w:rPr>
            </w:pPr>
            <w:r>
              <w:rPr>
                <w:rStyle w:val="Strong"/>
                <w:rFonts w:ascii="Arial" w:hAnsi="Arial"/>
                <w:color w:val="auto"/>
                <w:sz w:val="20"/>
                <w:szCs w:val="20"/>
              </w:rPr>
              <w:t>Number of residential water and wastewater customers (000s)</w:t>
            </w:r>
          </w:p>
        </w:tc>
        <w:tc>
          <w:tcPr>
            <w:tcW w:w="1906" w:type="dxa"/>
            <w:shd w:val="clear" w:color="auto" w:fill="BFBFBF" w:themeFill="background1" w:themeFillShade="BF"/>
            <w:vAlign w:val="center"/>
          </w:tcPr>
          <w:p w14:paraId="0B4EC621" w14:textId="30175F30" w:rsidR="006C388E" w:rsidRPr="00007BDD" w:rsidRDefault="006C388E" w:rsidP="006C388E">
            <w:pPr>
              <w:pStyle w:val="Tableparagraph"/>
              <w:jc w:val="center"/>
              <w:rPr>
                <w:rStyle w:val="Strong"/>
                <w:rFonts w:ascii="Arial" w:hAnsi="Arial"/>
                <w:color w:val="auto"/>
                <w:sz w:val="20"/>
                <w:szCs w:val="20"/>
              </w:rPr>
            </w:pPr>
          </w:p>
        </w:tc>
        <w:tc>
          <w:tcPr>
            <w:tcW w:w="1790" w:type="dxa"/>
            <w:shd w:val="clear" w:color="auto" w:fill="BFBFBF" w:themeFill="background1" w:themeFillShade="BF"/>
            <w:vAlign w:val="center"/>
          </w:tcPr>
          <w:p w14:paraId="6813A598" w14:textId="0BAB89A2" w:rsidR="006C388E" w:rsidRPr="00007BDD" w:rsidRDefault="006C388E" w:rsidP="006C388E">
            <w:pPr>
              <w:pStyle w:val="Tableparagraph"/>
              <w:jc w:val="center"/>
              <w:rPr>
                <w:rStyle w:val="Strong"/>
                <w:rFonts w:ascii="Arial" w:hAnsi="Arial"/>
                <w:color w:val="auto"/>
                <w:sz w:val="20"/>
                <w:szCs w:val="20"/>
              </w:rPr>
            </w:pPr>
          </w:p>
        </w:tc>
        <w:tc>
          <w:tcPr>
            <w:tcW w:w="1790" w:type="dxa"/>
            <w:vMerge/>
            <w:shd w:val="clear" w:color="auto" w:fill="E7E2DE" w:themeFill="accent2" w:themeFillTint="33"/>
          </w:tcPr>
          <w:p w14:paraId="36C9C7B2" w14:textId="24370D3B" w:rsidR="006C388E" w:rsidRDefault="006C388E" w:rsidP="006C388E">
            <w:pPr>
              <w:pStyle w:val="Tableparagraph"/>
              <w:jc w:val="center"/>
              <w:rPr>
                <w:rStyle w:val="Strong"/>
                <w:rFonts w:ascii="Arial" w:hAnsi="Arial"/>
                <w:color w:val="auto"/>
                <w:sz w:val="20"/>
                <w:szCs w:val="20"/>
              </w:rPr>
            </w:pPr>
          </w:p>
        </w:tc>
      </w:tr>
      <w:tr w:rsidR="006C388E" w:rsidRPr="004E411A" w14:paraId="435C4789" w14:textId="3EEFC276" w:rsidTr="00E64F20">
        <w:trPr>
          <w:cnfStyle w:val="000000010000" w:firstRow="0" w:lastRow="0" w:firstColumn="0" w:lastColumn="0" w:oddVBand="0" w:evenVBand="0" w:oddHBand="0" w:evenHBand="1" w:firstRowFirstColumn="0" w:firstRowLastColumn="0" w:lastRowFirstColumn="0" w:lastRowLastColumn="0"/>
          <w:cantSplit/>
        </w:trPr>
        <w:tc>
          <w:tcPr>
            <w:tcW w:w="3756" w:type="dxa"/>
          </w:tcPr>
          <w:p w14:paraId="4E9B53DF" w14:textId="77777777" w:rsidR="006C388E" w:rsidRPr="00007BDD" w:rsidRDefault="006C388E" w:rsidP="00F83EBE">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Total leakage (Ml per day)</w:t>
            </w:r>
          </w:p>
          <w:p w14:paraId="00821E62" w14:textId="5A0108A9" w:rsidR="006C388E" w:rsidRPr="00401D5D" w:rsidRDefault="006C388E" w:rsidP="00F83EBE">
            <w:pPr>
              <w:spacing w:before="0" w:after="0"/>
            </w:pPr>
            <w:r w:rsidRPr="00007BDD">
              <w:rPr>
                <w:color w:val="857362" w:themeColor="accent2"/>
              </w:rPr>
              <w:t>Based on PR19 definition</w:t>
            </w:r>
            <w:r>
              <w:rPr>
                <w:i/>
              </w:rPr>
              <w:t xml:space="preserve">, </w:t>
            </w:r>
            <w:r w:rsidRPr="00401D5D">
              <w:rPr>
                <w:color w:val="857362" w:themeColor="accent2"/>
              </w:rPr>
              <w:t>annual average</w:t>
            </w:r>
          </w:p>
        </w:tc>
        <w:tc>
          <w:tcPr>
            <w:tcW w:w="1906" w:type="dxa"/>
            <w:vAlign w:val="center"/>
          </w:tcPr>
          <w:p w14:paraId="1AD44E40" w14:textId="599FA5E2"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24.00</w:t>
            </w:r>
          </w:p>
        </w:tc>
        <w:tc>
          <w:tcPr>
            <w:tcW w:w="1790" w:type="dxa"/>
            <w:vAlign w:val="center"/>
          </w:tcPr>
          <w:p w14:paraId="5DCAAD03" w14:textId="6E2A1942"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20.40</w:t>
            </w:r>
          </w:p>
        </w:tc>
        <w:tc>
          <w:tcPr>
            <w:tcW w:w="1790" w:type="dxa"/>
            <w:vAlign w:val="center"/>
          </w:tcPr>
          <w:p w14:paraId="0F04057B" w14:textId="018F7166" w:rsidR="006C388E" w:rsidRDefault="006C388E" w:rsidP="006C388E">
            <w:pPr>
              <w:pStyle w:val="Tableparagraph"/>
              <w:jc w:val="center"/>
              <w:rPr>
                <w:rStyle w:val="Strong"/>
                <w:rFonts w:ascii="Arial" w:hAnsi="Arial"/>
                <w:color w:val="auto"/>
                <w:sz w:val="20"/>
                <w:szCs w:val="20"/>
              </w:rPr>
            </w:pPr>
            <w:r>
              <w:rPr>
                <w:rFonts w:cs="Arial"/>
                <w:color w:val="000000"/>
                <w:sz w:val="18"/>
                <w:szCs w:val="18"/>
              </w:rPr>
              <w:t>-15.00%</w:t>
            </w:r>
          </w:p>
        </w:tc>
      </w:tr>
      <w:tr w:rsidR="006C388E" w:rsidRPr="004E411A" w14:paraId="11B530E6" w14:textId="749548A3" w:rsidTr="00E64F20">
        <w:trPr>
          <w:cnfStyle w:val="000000100000" w:firstRow="0" w:lastRow="0" w:firstColumn="0" w:lastColumn="0" w:oddVBand="0" w:evenVBand="0" w:oddHBand="1" w:evenHBand="0" w:firstRowFirstColumn="0" w:firstRowLastColumn="0" w:lastRowFirstColumn="0" w:lastRowLastColumn="0"/>
          <w:cantSplit/>
        </w:trPr>
        <w:tc>
          <w:tcPr>
            <w:tcW w:w="3756" w:type="dxa"/>
          </w:tcPr>
          <w:p w14:paraId="3BC243BF" w14:textId="77777777" w:rsidR="006C388E" w:rsidRPr="00007BDD" w:rsidRDefault="006C388E" w:rsidP="006829F1">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Leakage (cubic metres per km of main per day)</w:t>
            </w:r>
          </w:p>
          <w:p w14:paraId="46312318" w14:textId="4C21C624" w:rsidR="006C388E" w:rsidRPr="00007BDD" w:rsidRDefault="006C388E" w:rsidP="006829F1">
            <w:pPr>
              <w:spacing w:before="0" w:after="0"/>
            </w:pPr>
            <w:r w:rsidRPr="00007BDD">
              <w:rPr>
                <w:color w:val="857362" w:themeColor="accent2"/>
              </w:rPr>
              <w:t>Based on PR19 definition</w:t>
            </w:r>
            <w:r>
              <w:rPr>
                <w:color w:val="857362" w:themeColor="accent2"/>
              </w:rPr>
              <w:t>, annual average</w:t>
            </w:r>
          </w:p>
        </w:tc>
        <w:tc>
          <w:tcPr>
            <w:tcW w:w="1906" w:type="dxa"/>
            <w:vAlign w:val="center"/>
          </w:tcPr>
          <w:p w14:paraId="661C1EC4" w14:textId="5CABC437"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6.8</w:t>
            </w:r>
          </w:p>
        </w:tc>
        <w:tc>
          <w:tcPr>
            <w:tcW w:w="1790" w:type="dxa"/>
            <w:vAlign w:val="center"/>
          </w:tcPr>
          <w:p w14:paraId="5FD5373E" w14:textId="6017FB80"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5.8</w:t>
            </w:r>
          </w:p>
        </w:tc>
        <w:tc>
          <w:tcPr>
            <w:tcW w:w="1790" w:type="dxa"/>
            <w:vAlign w:val="center"/>
          </w:tcPr>
          <w:p w14:paraId="1E10781F" w14:textId="76FE16F1" w:rsidR="006C388E" w:rsidRDefault="006C388E" w:rsidP="006C388E">
            <w:pPr>
              <w:pStyle w:val="Tableparagraph"/>
              <w:jc w:val="center"/>
              <w:rPr>
                <w:rStyle w:val="Strong"/>
                <w:rFonts w:ascii="Arial" w:hAnsi="Arial"/>
                <w:color w:val="auto"/>
                <w:sz w:val="20"/>
                <w:szCs w:val="20"/>
              </w:rPr>
            </w:pPr>
            <w:r>
              <w:rPr>
                <w:rFonts w:cs="Arial"/>
                <w:color w:val="000000"/>
                <w:sz w:val="18"/>
                <w:szCs w:val="18"/>
              </w:rPr>
              <w:t>-14.7%</w:t>
            </w:r>
          </w:p>
        </w:tc>
      </w:tr>
      <w:tr w:rsidR="006C388E" w:rsidRPr="004E411A" w14:paraId="55F910EA" w14:textId="02DE3F90" w:rsidTr="00E64F20">
        <w:trPr>
          <w:cnfStyle w:val="000000010000" w:firstRow="0" w:lastRow="0" w:firstColumn="0" w:lastColumn="0" w:oddVBand="0" w:evenVBand="0" w:oddHBand="0" w:evenHBand="1" w:firstRowFirstColumn="0" w:firstRowLastColumn="0" w:lastRowFirstColumn="0" w:lastRowLastColumn="0"/>
          <w:cantSplit/>
        </w:trPr>
        <w:tc>
          <w:tcPr>
            <w:tcW w:w="3756" w:type="dxa"/>
          </w:tcPr>
          <w:p w14:paraId="7510E994" w14:textId="77777777" w:rsidR="006C388E" w:rsidRPr="00007BDD" w:rsidRDefault="006C388E" w:rsidP="008D2010">
            <w:pPr>
              <w:pStyle w:val="Tableparagraph"/>
              <w:rPr>
                <w:rStyle w:val="Strong"/>
                <w:rFonts w:ascii="Arial" w:hAnsi="Arial"/>
                <w:color w:val="auto"/>
                <w:sz w:val="20"/>
                <w:szCs w:val="20"/>
              </w:rPr>
            </w:pPr>
            <w:r w:rsidRPr="00007BDD">
              <w:rPr>
                <w:rStyle w:val="Strong"/>
                <w:rFonts w:ascii="Arial" w:hAnsi="Arial"/>
                <w:color w:val="auto"/>
                <w:sz w:val="20"/>
                <w:szCs w:val="20"/>
              </w:rPr>
              <w:t>Leakage (litres per property per day)</w:t>
            </w:r>
          </w:p>
          <w:p w14:paraId="6F21A631" w14:textId="6A416223" w:rsidR="006C388E" w:rsidRPr="00007BDD" w:rsidRDefault="006C388E" w:rsidP="006829F1">
            <w:pPr>
              <w:spacing w:before="0" w:after="0"/>
            </w:pPr>
            <w:r w:rsidRPr="00007BDD">
              <w:rPr>
                <w:color w:val="857362" w:themeColor="accent2"/>
              </w:rPr>
              <w:t>Based on PR19 definition</w:t>
            </w:r>
            <w:r>
              <w:rPr>
                <w:color w:val="857362" w:themeColor="accent2"/>
              </w:rPr>
              <w:t xml:space="preserve">, annual average </w:t>
            </w:r>
          </w:p>
        </w:tc>
        <w:tc>
          <w:tcPr>
            <w:tcW w:w="1906" w:type="dxa"/>
            <w:vAlign w:val="center"/>
          </w:tcPr>
          <w:p w14:paraId="78F1A04E" w14:textId="44934826"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80.8</w:t>
            </w:r>
          </w:p>
        </w:tc>
        <w:tc>
          <w:tcPr>
            <w:tcW w:w="1790" w:type="dxa"/>
            <w:vAlign w:val="center"/>
          </w:tcPr>
          <w:p w14:paraId="689FCFF0" w14:textId="13184760"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66.2</w:t>
            </w:r>
          </w:p>
        </w:tc>
        <w:tc>
          <w:tcPr>
            <w:tcW w:w="1790" w:type="dxa"/>
            <w:vAlign w:val="center"/>
          </w:tcPr>
          <w:p w14:paraId="23392685" w14:textId="0CC300EF" w:rsidR="006C388E" w:rsidRDefault="006C388E" w:rsidP="006C388E">
            <w:pPr>
              <w:pStyle w:val="Tableparagraph"/>
              <w:jc w:val="center"/>
              <w:rPr>
                <w:rStyle w:val="Strong"/>
                <w:rFonts w:ascii="Arial" w:hAnsi="Arial"/>
                <w:color w:val="auto"/>
                <w:sz w:val="20"/>
                <w:szCs w:val="20"/>
              </w:rPr>
            </w:pPr>
            <w:r>
              <w:rPr>
                <w:rFonts w:cs="Arial"/>
                <w:color w:val="000000"/>
                <w:sz w:val="18"/>
                <w:szCs w:val="18"/>
              </w:rPr>
              <w:t>-18.1%</w:t>
            </w:r>
          </w:p>
        </w:tc>
      </w:tr>
      <w:tr w:rsidR="006C388E" w:rsidRPr="004E411A" w14:paraId="21B01CE2" w14:textId="33AB7E49" w:rsidTr="00E64F20">
        <w:trPr>
          <w:cnfStyle w:val="000000100000" w:firstRow="0" w:lastRow="0" w:firstColumn="0" w:lastColumn="0" w:oddVBand="0" w:evenVBand="0" w:oddHBand="1" w:evenHBand="0" w:firstRowFirstColumn="0" w:firstRowLastColumn="0" w:lastRowFirstColumn="0" w:lastRowLastColumn="0"/>
          <w:cantSplit/>
        </w:trPr>
        <w:tc>
          <w:tcPr>
            <w:tcW w:w="3756" w:type="dxa"/>
          </w:tcPr>
          <w:p w14:paraId="7D41E245" w14:textId="77777777" w:rsidR="006C388E" w:rsidRPr="00007BDD" w:rsidRDefault="006C388E" w:rsidP="00222DD3">
            <w:pPr>
              <w:pStyle w:val="Tableparagraph"/>
              <w:spacing w:after="0"/>
              <w:rPr>
                <w:rStyle w:val="Strong"/>
                <w:rFonts w:ascii="Arial" w:hAnsi="Arial"/>
                <w:color w:val="auto"/>
                <w:sz w:val="20"/>
                <w:szCs w:val="20"/>
              </w:rPr>
            </w:pPr>
            <w:r w:rsidRPr="00007BDD">
              <w:rPr>
                <w:rStyle w:val="Strong"/>
                <w:rFonts w:ascii="Arial" w:hAnsi="Arial"/>
                <w:color w:val="auto"/>
                <w:sz w:val="20"/>
                <w:szCs w:val="20"/>
              </w:rPr>
              <w:t>Per Capita Consumption (PCC)</w:t>
            </w:r>
          </w:p>
          <w:p w14:paraId="4F0ABBF8" w14:textId="00F51383" w:rsidR="006C388E" w:rsidRPr="00007BDD" w:rsidRDefault="006C388E" w:rsidP="00222DD3">
            <w:pPr>
              <w:spacing w:before="0" w:after="0"/>
            </w:pPr>
            <w:r w:rsidRPr="00007BDD">
              <w:rPr>
                <w:color w:val="857362" w:themeColor="accent2"/>
              </w:rPr>
              <w:t>Based on PR19 definition</w:t>
            </w:r>
            <w:r>
              <w:rPr>
                <w:color w:val="857362" w:themeColor="accent2"/>
              </w:rPr>
              <w:t>, annual average</w:t>
            </w:r>
          </w:p>
        </w:tc>
        <w:tc>
          <w:tcPr>
            <w:tcW w:w="1906" w:type="dxa"/>
            <w:vAlign w:val="center"/>
          </w:tcPr>
          <w:p w14:paraId="69DA0690" w14:textId="6143AF4C"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144.90</w:t>
            </w:r>
          </w:p>
        </w:tc>
        <w:tc>
          <w:tcPr>
            <w:tcW w:w="1790" w:type="dxa"/>
            <w:vAlign w:val="center"/>
          </w:tcPr>
          <w:p w14:paraId="6C3AAA9C" w14:textId="2576FA9B"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134.30</w:t>
            </w:r>
          </w:p>
        </w:tc>
        <w:tc>
          <w:tcPr>
            <w:tcW w:w="1790" w:type="dxa"/>
            <w:vAlign w:val="center"/>
          </w:tcPr>
          <w:p w14:paraId="55188C03" w14:textId="3007868D" w:rsidR="006C388E" w:rsidRDefault="006C388E" w:rsidP="006C388E">
            <w:pPr>
              <w:pStyle w:val="Tableparagraph"/>
              <w:jc w:val="center"/>
              <w:rPr>
                <w:rStyle w:val="Strong"/>
                <w:rFonts w:ascii="Arial" w:hAnsi="Arial"/>
                <w:color w:val="auto"/>
                <w:sz w:val="20"/>
                <w:szCs w:val="20"/>
              </w:rPr>
            </w:pPr>
            <w:r>
              <w:rPr>
                <w:rFonts w:cs="Arial"/>
                <w:color w:val="000000"/>
                <w:sz w:val="18"/>
                <w:szCs w:val="18"/>
              </w:rPr>
              <w:t>-7.32%</w:t>
            </w:r>
          </w:p>
        </w:tc>
      </w:tr>
      <w:tr w:rsidR="006C388E" w:rsidRPr="004E411A" w14:paraId="3C37A9FF" w14:textId="3CF9C1A3" w:rsidTr="00E64F20">
        <w:trPr>
          <w:cnfStyle w:val="000000010000" w:firstRow="0" w:lastRow="0" w:firstColumn="0" w:lastColumn="0" w:oddVBand="0" w:evenVBand="0" w:oddHBand="0" w:evenHBand="1" w:firstRowFirstColumn="0" w:firstRowLastColumn="0" w:lastRowFirstColumn="0" w:lastRowLastColumn="0"/>
          <w:cantSplit/>
        </w:trPr>
        <w:tc>
          <w:tcPr>
            <w:tcW w:w="3756" w:type="dxa"/>
          </w:tcPr>
          <w:p w14:paraId="7C50C777" w14:textId="2B9233E3" w:rsidR="006C388E" w:rsidRPr="00007BDD" w:rsidRDefault="006C388E" w:rsidP="007B0DE0">
            <w:pPr>
              <w:pStyle w:val="Tableparagraph"/>
              <w:rPr>
                <w:rStyle w:val="Strong"/>
                <w:rFonts w:ascii="Arial" w:hAnsi="Arial"/>
                <w:color w:val="auto"/>
                <w:sz w:val="20"/>
                <w:szCs w:val="20"/>
              </w:rPr>
            </w:pPr>
            <w:r w:rsidRPr="00007BDD">
              <w:rPr>
                <w:rStyle w:val="Strong"/>
                <w:rFonts w:ascii="Arial" w:hAnsi="Arial"/>
                <w:color w:val="auto"/>
                <w:sz w:val="20"/>
                <w:szCs w:val="20"/>
              </w:rPr>
              <w:t>ODI RoRE range</w:t>
            </w:r>
          </w:p>
        </w:tc>
        <w:tc>
          <w:tcPr>
            <w:tcW w:w="1906" w:type="dxa"/>
            <w:vAlign w:val="center"/>
          </w:tcPr>
          <w:p w14:paraId="4201175E" w14:textId="7CA8DA1C"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3.40%</w:t>
            </w:r>
          </w:p>
        </w:tc>
        <w:tc>
          <w:tcPr>
            <w:tcW w:w="1790" w:type="dxa"/>
            <w:vAlign w:val="center"/>
          </w:tcPr>
          <w:p w14:paraId="3EEA43CB" w14:textId="6078BFC8"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2.80%</w:t>
            </w:r>
          </w:p>
        </w:tc>
        <w:tc>
          <w:tcPr>
            <w:tcW w:w="1790" w:type="dxa"/>
            <w:vMerge w:val="restart"/>
            <w:shd w:val="clear" w:color="auto" w:fill="E7E2DE" w:themeFill="accent2" w:themeFillTint="33"/>
          </w:tcPr>
          <w:p w14:paraId="7F9AB6B6" w14:textId="77777777" w:rsidR="006C388E" w:rsidRPr="00007BDD" w:rsidRDefault="006C388E" w:rsidP="006C388E">
            <w:pPr>
              <w:pStyle w:val="Tableparagraph"/>
              <w:jc w:val="center"/>
              <w:rPr>
                <w:rStyle w:val="Strong"/>
                <w:rFonts w:ascii="Arial" w:hAnsi="Arial"/>
                <w:color w:val="auto"/>
                <w:sz w:val="20"/>
                <w:szCs w:val="20"/>
              </w:rPr>
            </w:pPr>
          </w:p>
          <w:p w14:paraId="6581312E" w14:textId="77777777" w:rsidR="006C388E" w:rsidRPr="00007BDD" w:rsidRDefault="006C388E" w:rsidP="006C388E">
            <w:pPr>
              <w:pStyle w:val="Tableparagraph"/>
              <w:jc w:val="center"/>
              <w:rPr>
                <w:rStyle w:val="Strong"/>
                <w:rFonts w:ascii="Arial" w:hAnsi="Arial"/>
                <w:color w:val="auto"/>
                <w:sz w:val="20"/>
                <w:szCs w:val="20"/>
              </w:rPr>
            </w:pPr>
          </w:p>
          <w:p w14:paraId="2848A4A7" w14:textId="77777777" w:rsidR="006C388E" w:rsidRPr="00007BDD" w:rsidRDefault="006C388E" w:rsidP="006C388E">
            <w:pPr>
              <w:pStyle w:val="Tableparagraph"/>
              <w:jc w:val="center"/>
              <w:rPr>
                <w:rStyle w:val="Strong"/>
                <w:rFonts w:ascii="Arial" w:hAnsi="Arial"/>
                <w:color w:val="auto"/>
                <w:sz w:val="20"/>
                <w:szCs w:val="20"/>
              </w:rPr>
            </w:pPr>
          </w:p>
          <w:p w14:paraId="54866268" w14:textId="05E16693" w:rsidR="006C388E" w:rsidRPr="00007BDD" w:rsidRDefault="006C388E" w:rsidP="006C388E">
            <w:pPr>
              <w:pStyle w:val="Tableparagraph"/>
              <w:jc w:val="center"/>
              <w:rPr>
                <w:rStyle w:val="Strong"/>
                <w:rFonts w:ascii="Arial" w:hAnsi="Arial"/>
                <w:color w:val="auto"/>
                <w:sz w:val="20"/>
                <w:szCs w:val="20"/>
              </w:rPr>
            </w:pPr>
          </w:p>
        </w:tc>
      </w:tr>
      <w:tr w:rsidR="006C388E" w:rsidRPr="004E411A" w14:paraId="770DCFE1" w14:textId="51F33B69" w:rsidTr="006C388E">
        <w:trPr>
          <w:cnfStyle w:val="000000100000" w:firstRow="0" w:lastRow="0" w:firstColumn="0" w:lastColumn="0" w:oddVBand="0" w:evenVBand="0" w:oddHBand="1" w:evenHBand="0" w:firstRowFirstColumn="0" w:firstRowLastColumn="0" w:lastRowFirstColumn="0" w:lastRowLastColumn="0"/>
          <w:cantSplit/>
        </w:trPr>
        <w:tc>
          <w:tcPr>
            <w:tcW w:w="3756" w:type="dxa"/>
          </w:tcPr>
          <w:p w14:paraId="35542F4F" w14:textId="364546C6" w:rsidR="006C388E" w:rsidRPr="00007BDD" w:rsidRDefault="006C388E" w:rsidP="008D2010">
            <w:pPr>
              <w:pStyle w:val="Tableparagraph"/>
              <w:rPr>
                <w:rStyle w:val="Strong"/>
                <w:rFonts w:ascii="Arial" w:hAnsi="Arial"/>
                <w:color w:val="auto"/>
                <w:sz w:val="20"/>
                <w:szCs w:val="20"/>
              </w:rPr>
            </w:pPr>
            <w:r w:rsidRPr="00007BDD">
              <w:rPr>
                <w:rStyle w:val="Strong"/>
                <w:rFonts w:ascii="Arial" w:hAnsi="Arial"/>
                <w:color w:val="auto"/>
                <w:sz w:val="20"/>
                <w:szCs w:val="20"/>
              </w:rPr>
              <w:t>Appointee WACC (real RPI)</w:t>
            </w:r>
          </w:p>
        </w:tc>
        <w:tc>
          <w:tcPr>
            <w:tcW w:w="1906" w:type="dxa"/>
            <w:vAlign w:val="center"/>
          </w:tcPr>
          <w:p w14:paraId="79A7C94E" w14:textId="74C46CC3"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3.54%</w:t>
            </w:r>
          </w:p>
        </w:tc>
        <w:tc>
          <w:tcPr>
            <w:tcW w:w="1790" w:type="dxa"/>
            <w:vAlign w:val="center"/>
          </w:tcPr>
          <w:p w14:paraId="34E2ACD9" w14:textId="136253B2"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2.62%</w:t>
            </w:r>
          </w:p>
        </w:tc>
        <w:tc>
          <w:tcPr>
            <w:tcW w:w="1790" w:type="dxa"/>
            <w:vMerge/>
            <w:shd w:val="clear" w:color="auto" w:fill="E7E2DE" w:themeFill="accent2" w:themeFillTint="33"/>
          </w:tcPr>
          <w:p w14:paraId="7B3B1E02" w14:textId="2A3CCF9A" w:rsidR="006C388E" w:rsidRPr="00007BDD" w:rsidRDefault="006C388E" w:rsidP="00F1758B">
            <w:pPr>
              <w:pStyle w:val="Tableparagraph"/>
              <w:jc w:val="right"/>
              <w:rPr>
                <w:rStyle w:val="Strong"/>
                <w:rFonts w:ascii="Arial" w:hAnsi="Arial"/>
                <w:color w:val="auto"/>
                <w:sz w:val="20"/>
                <w:szCs w:val="20"/>
              </w:rPr>
            </w:pPr>
          </w:p>
        </w:tc>
      </w:tr>
      <w:tr w:rsidR="006C388E" w:rsidRPr="004E411A" w14:paraId="39F21636" w14:textId="137DD840" w:rsidTr="006C388E">
        <w:trPr>
          <w:cnfStyle w:val="000000010000" w:firstRow="0" w:lastRow="0" w:firstColumn="0" w:lastColumn="0" w:oddVBand="0" w:evenVBand="0" w:oddHBand="0" w:evenHBand="1" w:firstRowFirstColumn="0" w:firstRowLastColumn="0" w:lastRowFirstColumn="0" w:lastRowLastColumn="0"/>
          <w:cantSplit/>
        </w:trPr>
        <w:tc>
          <w:tcPr>
            <w:tcW w:w="3756" w:type="dxa"/>
          </w:tcPr>
          <w:p w14:paraId="3E818104" w14:textId="6672CE39" w:rsidR="006C388E" w:rsidRPr="00007BDD" w:rsidRDefault="006C388E" w:rsidP="008D2010">
            <w:pPr>
              <w:pStyle w:val="Tableparagraph"/>
              <w:rPr>
                <w:rStyle w:val="Strong"/>
                <w:rFonts w:ascii="Arial" w:hAnsi="Arial"/>
                <w:color w:val="auto"/>
                <w:sz w:val="20"/>
                <w:szCs w:val="20"/>
              </w:rPr>
            </w:pPr>
            <w:r w:rsidRPr="00007BDD">
              <w:rPr>
                <w:rStyle w:val="Strong"/>
                <w:rFonts w:ascii="Arial" w:hAnsi="Arial"/>
                <w:color w:val="auto"/>
                <w:sz w:val="20"/>
                <w:szCs w:val="20"/>
              </w:rPr>
              <w:t>Appointee WACC (real CPIH)</w:t>
            </w:r>
          </w:p>
        </w:tc>
        <w:tc>
          <w:tcPr>
            <w:tcW w:w="1906" w:type="dxa"/>
            <w:vAlign w:val="center"/>
          </w:tcPr>
          <w:p w14:paraId="093F4714" w14:textId="2E8D7A23"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4.56%</w:t>
            </w:r>
          </w:p>
        </w:tc>
        <w:tc>
          <w:tcPr>
            <w:tcW w:w="1790" w:type="dxa"/>
            <w:vAlign w:val="center"/>
          </w:tcPr>
          <w:p w14:paraId="5B968ED3" w14:textId="3E3186B1"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3.63%</w:t>
            </w:r>
          </w:p>
        </w:tc>
        <w:tc>
          <w:tcPr>
            <w:tcW w:w="1790" w:type="dxa"/>
            <w:vMerge/>
            <w:shd w:val="clear" w:color="auto" w:fill="E7E2DE" w:themeFill="accent2" w:themeFillTint="33"/>
          </w:tcPr>
          <w:p w14:paraId="5DDDC1AD" w14:textId="3FF4053D" w:rsidR="006C388E" w:rsidRPr="00007BDD" w:rsidRDefault="006C388E" w:rsidP="00F1758B">
            <w:pPr>
              <w:pStyle w:val="Tableparagraph"/>
              <w:jc w:val="right"/>
              <w:rPr>
                <w:rStyle w:val="Strong"/>
                <w:rFonts w:ascii="Arial" w:hAnsi="Arial"/>
                <w:color w:val="auto"/>
                <w:sz w:val="20"/>
                <w:szCs w:val="20"/>
              </w:rPr>
            </w:pPr>
          </w:p>
        </w:tc>
      </w:tr>
      <w:tr w:rsidR="006C388E" w:rsidRPr="004E411A" w14:paraId="5C3D7C92" w14:textId="74C4F664" w:rsidTr="006C388E">
        <w:trPr>
          <w:cnfStyle w:val="000000100000" w:firstRow="0" w:lastRow="0" w:firstColumn="0" w:lastColumn="0" w:oddVBand="0" w:evenVBand="0" w:oddHBand="1" w:evenHBand="0" w:firstRowFirstColumn="0" w:firstRowLastColumn="0" w:lastRowFirstColumn="0" w:lastRowLastColumn="0"/>
          <w:cantSplit/>
        </w:trPr>
        <w:tc>
          <w:tcPr>
            <w:tcW w:w="3756" w:type="dxa"/>
          </w:tcPr>
          <w:p w14:paraId="174ADC21" w14:textId="4B68A256" w:rsidR="006C388E" w:rsidRPr="00007BDD" w:rsidRDefault="006C388E" w:rsidP="008D2010">
            <w:pPr>
              <w:pStyle w:val="Tableparagraph"/>
              <w:rPr>
                <w:rStyle w:val="Strong"/>
                <w:rFonts w:ascii="Arial" w:hAnsi="Arial"/>
                <w:color w:val="auto"/>
                <w:sz w:val="20"/>
                <w:szCs w:val="20"/>
              </w:rPr>
            </w:pPr>
            <w:r w:rsidRPr="00007BDD">
              <w:rPr>
                <w:rStyle w:val="Strong"/>
                <w:rFonts w:ascii="Arial" w:hAnsi="Arial"/>
                <w:color w:val="auto"/>
                <w:sz w:val="20"/>
                <w:szCs w:val="20"/>
              </w:rPr>
              <w:t>Credit rating – actual financial structure</w:t>
            </w:r>
          </w:p>
        </w:tc>
        <w:tc>
          <w:tcPr>
            <w:tcW w:w="1906" w:type="dxa"/>
            <w:vAlign w:val="center"/>
          </w:tcPr>
          <w:p w14:paraId="2DEB8E8B" w14:textId="04936FF4"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BBB+</w:t>
            </w:r>
          </w:p>
        </w:tc>
        <w:tc>
          <w:tcPr>
            <w:tcW w:w="1790" w:type="dxa"/>
            <w:vAlign w:val="center"/>
          </w:tcPr>
          <w:p w14:paraId="40C838F2" w14:textId="0D090288" w:rsidR="006C388E" w:rsidRPr="00007BDD" w:rsidRDefault="006C388E" w:rsidP="006C388E">
            <w:pPr>
              <w:pStyle w:val="Tableparagraph"/>
              <w:jc w:val="center"/>
              <w:rPr>
                <w:rStyle w:val="Strong"/>
                <w:rFonts w:ascii="Arial" w:hAnsi="Arial"/>
                <w:color w:val="auto"/>
                <w:sz w:val="20"/>
                <w:szCs w:val="20"/>
              </w:rPr>
            </w:pPr>
            <w:r>
              <w:rPr>
                <w:rFonts w:cs="Arial"/>
                <w:color w:val="000000"/>
                <w:sz w:val="18"/>
                <w:szCs w:val="18"/>
              </w:rPr>
              <w:t>Baa1</w:t>
            </w:r>
          </w:p>
        </w:tc>
        <w:tc>
          <w:tcPr>
            <w:tcW w:w="1790" w:type="dxa"/>
            <w:vMerge/>
            <w:shd w:val="clear" w:color="auto" w:fill="E7E2DE" w:themeFill="accent2" w:themeFillTint="33"/>
          </w:tcPr>
          <w:p w14:paraId="432D5762" w14:textId="71EE4594" w:rsidR="006C388E" w:rsidRPr="00007BDD" w:rsidRDefault="006C388E" w:rsidP="00F1758B">
            <w:pPr>
              <w:pStyle w:val="Tableparagraph"/>
              <w:jc w:val="right"/>
              <w:rPr>
                <w:rStyle w:val="Strong"/>
                <w:rFonts w:ascii="Arial" w:hAnsi="Arial"/>
                <w:color w:val="auto"/>
                <w:sz w:val="20"/>
                <w:szCs w:val="20"/>
              </w:rPr>
            </w:pPr>
          </w:p>
        </w:tc>
      </w:tr>
      <w:tr w:rsidR="00F1758B" w:rsidRPr="004E411A" w14:paraId="1868D70C" w14:textId="76A381A1" w:rsidTr="006C388E">
        <w:trPr>
          <w:cnfStyle w:val="000000010000" w:firstRow="0" w:lastRow="0" w:firstColumn="0" w:lastColumn="0" w:oddVBand="0" w:evenVBand="0" w:oddHBand="0" w:evenHBand="1" w:firstRowFirstColumn="0" w:firstRowLastColumn="0" w:lastRowFirstColumn="0" w:lastRowLastColumn="0"/>
          <w:cantSplit/>
        </w:trPr>
        <w:tc>
          <w:tcPr>
            <w:tcW w:w="3756" w:type="dxa"/>
            <w:shd w:val="clear" w:color="auto" w:fill="E7E2DE" w:themeFill="accent2" w:themeFillTint="33"/>
          </w:tcPr>
          <w:p w14:paraId="0191CC81" w14:textId="79C526A6" w:rsidR="00F1758B" w:rsidRPr="008D2010" w:rsidRDefault="00F1758B" w:rsidP="006829F1">
            <w:pPr>
              <w:pStyle w:val="Tabledescriptorcell1"/>
              <w:rPr>
                <w:rStyle w:val="Strong"/>
                <w:rFonts w:ascii="Arial" w:hAnsi="Arial"/>
                <w:color w:val="auto"/>
              </w:rPr>
            </w:pPr>
            <w:r w:rsidRPr="006829F1">
              <w:rPr>
                <w:rStyle w:val="Strong"/>
                <w:rFonts w:ascii="Franklin Gothic Demi" w:hAnsi="Franklin Gothic Demi"/>
                <w:color w:val="0078D2"/>
              </w:rPr>
              <w:t>Metric</w:t>
            </w:r>
          </w:p>
        </w:tc>
        <w:tc>
          <w:tcPr>
            <w:tcW w:w="1906" w:type="dxa"/>
            <w:shd w:val="clear" w:color="auto" w:fill="E7E2DE" w:themeFill="accent2" w:themeFillTint="33"/>
          </w:tcPr>
          <w:p w14:paraId="515F144E" w14:textId="07EDEDE3" w:rsidR="00F1758B" w:rsidRPr="00D44823" w:rsidRDefault="00F1758B" w:rsidP="00D44823">
            <w:pPr>
              <w:pStyle w:val="Tableparagraph"/>
              <w:jc w:val="right"/>
              <w:rPr>
                <w:rStyle w:val="Strong"/>
                <w:rFonts w:ascii="Franklin Gothic Demi" w:hAnsi="Franklin Gothic Demi"/>
                <w:color w:val="0078D2"/>
                <w:szCs w:val="20"/>
              </w:rPr>
            </w:pPr>
            <w:r>
              <w:rPr>
                <w:rStyle w:val="Strong"/>
                <w:rFonts w:ascii="Franklin Gothic Demi" w:hAnsi="Franklin Gothic Demi"/>
                <w:color w:val="0078D2"/>
                <w:szCs w:val="20"/>
              </w:rPr>
              <w:t xml:space="preserve">PR14 (2015-2020 </w:t>
            </w:r>
            <w:r w:rsidRPr="00D44823">
              <w:rPr>
                <w:rStyle w:val="Strong"/>
                <w:rFonts w:ascii="Franklin Gothic Demi" w:hAnsi="Franklin Gothic Demi"/>
                <w:color w:val="0078D2"/>
                <w:szCs w:val="20"/>
              </w:rPr>
              <w:t>Average)</w:t>
            </w:r>
          </w:p>
        </w:tc>
        <w:tc>
          <w:tcPr>
            <w:tcW w:w="1790" w:type="dxa"/>
            <w:shd w:val="clear" w:color="auto" w:fill="E7E2DE" w:themeFill="accent2" w:themeFillTint="33"/>
          </w:tcPr>
          <w:p w14:paraId="479ACAF4" w14:textId="2FBDB155" w:rsidR="00F1758B" w:rsidRPr="00D44823" w:rsidRDefault="00F1758B" w:rsidP="00D44823">
            <w:pPr>
              <w:pStyle w:val="Tableparagraph"/>
              <w:jc w:val="right"/>
              <w:rPr>
                <w:rStyle w:val="Strong"/>
                <w:rFonts w:ascii="Franklin Gothic Demi" w:hAnsi="Franklin Gothic Demi"/>
                <w:color w:val="0078D2"/>
                <w:szCs w:val="20"/>
              </w:rPr>
            </w:pPr>
            <w:r w:rsidRPr="00D44823">
              <w:rPr>
                <w:rStyle w:val="Strong"/>
                <w:rFonts w:ascii="Franklin Gothic Demi" w:hAnsi="Franklin Gothic Demi"/>
                <w:color w:val="0078D2"/>
                <w:szCs w:val="20"/>
              </w:rPr>
              <w:t>PR19 (2020</w:t>
            </w:r>
            <w:r>
              <w:rPr>
                <w:rStyle w:val="Strong"/>
                <w:rFonts w:ascii="Franklin Gothic Demi" w:hAnsi="Franklin Gothic Demi"/>
                <w:color w:val="0078D2"/>
                <w:szCs w:val="20"/>
              </w:rPr>
              <w:t xml:space="preserve">-25 </w:t>
            </w:r>
            <w:r w:rsidRPr="00D44823">
              <w:rPr>
                <w:rStyle w:val="Strong"/>
                <w:rFonts w:ascii="Franklin Gothic Demi" w:hAnsi="Franklin Gothic Demi"/>
                <w:color w:val="0078D2"/>
                <w:szCs w:val="20"/>
              </w:rPr>
              <w:t>Average</w:t>
            </w:r>
            <w:r>
              <w:rPr>
                <w:rStyle w:val="Strong"/>
                <w:rFonts w:ascii="Franklin Gothic Demi" w:hAnsi="Franklin Gothic Demi"/>
                <w:color w:val="0078D2"/>
                <w:szCs w:val="20"/>
              </w:rPr>
              <w:t>)</w:t>
            </w:r>
          </w:p>
        </w:tc>
        <w:tc>
          <w:tcPr>
            <w:tcW w:w="1790" w:type="dxa"/>
            <w:shd w:val="clear" w:color="auto" w:fill="E7E2DE" w:themeFill="accent2" w:themeFillTint="33"/>
          </w:tcPr>
          <w:p w14:paraId="79B0EA6E" w14:textId="77777777" w:rsidR="00F1758B" w:rsidRPr="00D44823" w:rsidRDefault="00F1758B" w:rsidP="00D44823">
            <w:pPr>
              <w:pStyle w:val="Tableparagraph"/>
              <w:jc w:val="right"/>
              <w:rPr>
                <w:rStyle w:val="Strong"/>
                <w:rFonts w:ascii="Franklin Gothic Demi" w:hAnsi="Franklin Gothic Demi"/>
                <w:color w:val="0078D2"/>
                <w:szCs w:val="20"/>
              </w:rPr>
            </w:pPr>
          </w:p>
        </w:tc>
      </w:tr>
      <w:tr w:rsidR="00F1758B" w:rsidRPr="004E411A" w14:paraId="5776F696" w14:textId="6EAAA798" w:rsidTr="006C388E">
        <w:trPr>
          <w:cnfStyle w:val="000000100000" w:firstRow="0" w:lastRow="0" w:firstColumn="0" w:lastColumn="0" w:oddVBand="0" w:evenVBand="0" w:oddHBand="1" w:evenHBand="0" w:firstRowFirstColumn="0" w:firstRowLastColumn="0" w:lastRowFirstColumn="0" w:lastRowLastColumn="0"/>
          <w:cantSplit/>
          <w:trHeight w:val="187"/>
        </w:trPr>
        <w:tc>
          <w:tcPr>
            <w:tcW w:w="3756" w:type="dxa"/>
            <w:vAlign w:val="center"/>
          </w:tcPr>
          <w:p w14:paraId="3A584277" w14:textId="77777777" w:rsidR="00F1758B" w:rsidRPr="00007BDD" w:rsidRDefault="00F1758B" w:rsidP="000C5480">
            <w:pPr>
              <w:pStyle w:val="Tableparagraph"/>
              <w:spacing w:before="0" w:after="0"/>
              <w:rPr>
                <w:rStyle w:val="Strong"/>
                <w:rFonts w:ascii="Arial" w:hAnsi="Arial"/>
                <w:color w:val="auto"/>
                <w:sz w:val="20"/>
                <w:szCs w:val="20"/>
              </w:rPr>
            </w:pPr>
            <w:r w:rsidRPr="00007BDD">
              <w:rPr>
                <w:rStyle w:val="Strong"/>
                <w:rFonts w:ascii="Arial" w:hAnsi="Arial"/>
                <w:color w:val="auto"/>
                <w:sz w:val="20"/>
                <w:szCs w:val="20"/>
              </w:rPr>
              <w:t>Adjusted interest cover notional</w:t>
            </w:r>
          </w:p>
        </w:tc>
        <w:tc>
          <w:tcPr>
            <w:tcW w:w="1906" w:type="dxa"/>
            <w:vAlign w:val="center"/>
          </w:tcPr>
          <w:p w14:paraId="66FAAA0B" w14:textId="2BC5E9C6" w:rsidR="00F1758B" w:rsidRPr="00007BDD" w:rsidRDefault="006C388E" w:rsidP="006C388E">
            <w:pPr>
              <w:tabs>
                <w:tab w:val="right" w:pos="2052"/>
              </w:tabs>
              <w:spacing w:before="0" w:after="0"/>
              <w:jc w:val="center"/>
            </w:pPr>
            <w:r>
              <w:t>1.30</w:t>
            </w:r>
          </w:p>
        </w:tc>
        <w:tc>
          <w:tcPr>
            <w:tcW w:w="1790" w:type="dxa"/>
            <w:vAlign w:val="center"/>
          </w:tcPr>
          <w:p w14:paraId="395A4788" w14:textId="62A61497" w:rsidR="00F1758B" w:rsidRPr="00007BDD" w:rsidRDefault="006C388E" w:rsidP="006C388E">
            <w:pPr>
              <w:pStyle w:val="Tableparagraph"/>
              <w:tabs>
                <w:tab w:val="center" w:pos="955"/>
              </w:tabs>
              <w:spacing w:before="0" w:after="0"/>
              <w:jc w:val="center"/>
              <w:rPr>
                <w:rStyle w:val="Strong"/>
                <w:rFonts w:ascii="Arial" w:hAnsi="Arial"/>
                <w:color w:val="auto"/>
                <w:sz w:val="20"/>
                <w:szCs w:val="20"/>
              </w:rPr>
            </w:pPr>
            <w:r>
              <w:rPr>
                <w:rStyle w:val="Strong"/>
                <w:rFonts w:ascii="Arial" w:hAnsi="Arial"/>
                <w:color w:val="auto"/>
                <w:sz w:val="20"/>
                <w:szCs w:val="20"/>
              </w:rPr>
              <w:t>1.41</w:t>
            </w:r>
          </w:p>
        </w:tc>
        <w:tc>
          <w:tcPr>
            <w:tcW w:w="1790" w:type="dxa"/>
            <w:vMerge w:val="restart"/>
            <w:shd w:val="clear" w:color="auto" w:fill="E7E2DE" w:themeFill="accent2" w:themeFillTint="33"/>
          </w:tcPr>
          <w:p w14:paraId="1740CC08" w14:textId="77777777" w:rsidR="00F1758B" w:rsidRPr="00007BDD" w:rsidRDefault="00F1758B" w:rsidP="004B748D">
            <w:pPr>
              <w:pStyle w:val="Tableparagraph"/>
              <w:tabs>
                <w:tab w:val="center" w:pos="955"/>
              </w:tabs>
              <w:spacing w:before="0" w:after="0"/>
              <w:rPr>
                <w:rStyle w:val="Strong"/>
                <w:rFonts w:ascii="Arial" w:hAnsi="Arial"/>
                <w:color w:val="auto"/>
                <w:sz w:val="20"/>
                <w:szCs w:val="20"/>
              </w:rPr>
            </w:pPr>
          </w:p>
          <w:p w14:paraId="23EC77AB" w14:textId="698293CC" w:rsidR="00F1758B" w:rsidRPr="00007BDD" w:rsidRDefault="00F1758B" w:rsidP="008D2010">
            <w:pPr>
              <w:pStyle w:val="Tableparagraph"/>
              <w:rPr>
                <w:rStyle w:val="Strong"/>
                <w:rFonts w:ascii="Arial" w:hAnsi="Arial"/>
                <w:color w:val="auto"/>
                <w:sz w:val="20"/>
                <w:szCs w:val="20"/>
              </w:rPr>
            </w:pPr>
          </w:p>
        </w:tc>
      </w:tr>
      <w:tr w:rsidR="00F1758B" w:rsidRPr="004E411A" w14:paraId="4CD2DEB4" w14:textId="77582FCA" w:rsidTr="006C388E">
        <w:trPr>
          <w:cnfStyle w:val="000000010000" w:firstRow="0" w:lastRow="0" w:firstColumn="0" w:lastColumn="0" w:oddVBand="0" w:evenVBand="0" w:oddHBand="0" w:evenHBand="1" w:firstRowFirstColumn="0" w:firstRowLastColumn="0" w:lastRowFirstColumn="0" w:lastRowLastColumn="0"/>
          <w:cantSplit/>
        </w:trPr>
        <w:tc>
          <w:tcPr>
            <w:tcW w:w="3756" w:type="dxa"/>
          </w:tcPr>
          <w:p w14:paraId="61786208" w14:textId="28F7AE54" w:rsidR="00F1758B" w:rsidRPr="00007BDD" w:rsidRDefault="004679CD" w:rsidP="00376738">
            <w:pPr>
              <w:pStyle w:val="Tableparagraph"/>
              <w:rPr>
                <w:rStyle w:val="Strong"/>
                <w:rFonts w:ascii="Arial" w:hAnsi="Arial"/>
                <w:color w:val="auto"/>
                <w:sz w:val="20"/>
                <w:szCs w:val="20"/>
              </w:rPr>
            </w:pPr>
            <w:r>
              <w:rPr>
                <w:rStyle w:val="Strong"/>
                <w:rFonts w:ascii="Arial" w:hAnsi="Arial"/>
                <w:color w:val="auto"/>
                <w:sz w:val="20"/>
                <w:szCs w:val="20"/>
              </w:rPr>
              <w:t>FFO</w:t>
            </w:r>
            <w:r w:rsidR="00F1758B">
              <w:rPr>
                <w:rStyle w:val="Strong"/>
                <w:rFonts w:ascii="Arial" w:hAnsi="Arial"/>
                <w:color w:val="auto"/>
                <w:sz w:val="20"/>
                <w:szCs w:val="20"/>
              </w:rPr>
              <w:t xml:space="preserve"> net debt notional</w:t>
            </w:r>
          </w:p>
        </w:tc>
        <w:tc>
          <w:tcPr>
            <w:tcW w:w="1906" w:type="dxa"/>
            <w:vAlign w:val="center"/>
          </w:tcPr>
          <w:p w14:paraId="6255B3DB" w14:textId="1870BF85" w:rsidR="00F1758B" w:rsidRPr="00007BDD" w:rsidRDefault="006C388E" w:rsidP="006C388E">
            <w:pPr>
              <w:pStyle w:val="Tableparagraph"/>
              <w:jc w:val="center"/>
              <w:rPr>
                <w:rStyle w:val="Strong"/>
                <w:rFonts w:ascii="Arial" w:hAnsi="Arial"/>
                <w:color w:val="auto"/>
                <w:sz w:val="20"/>
                <w:szCs w:val="20"/>
              </w:rPr>
            </w:pPr>
            <w:r>
              <w:rPr>
                <w:rStyle w:val="Strong"/>
                <w:rFonts w:ascii="Arial" w:hAnsi="Arial"/>
                <w:color w:val="auto"/>
                <w:sz w:val="20"/>
                <w:szCs w:val="20"/>
              </w:rPr>
              <w:t>0.15</w:t>
            </w:r>
          </w:p>
        </w:tc>
        <w:tc>
          <w:tcPr>
            <w:tcW w:w="1790" w:type="dxa"/>
            <w:vAlign w:val="center"/>
          </w:tcPr>
          <w:p w14:paraId="0CE1C86E" w14:textId="387022EA" w:rsidR="00F1758B" w:rsidRPr="00007BDD" w:rsidRDefault="006C388E" w:rsidP="006C388E">
            <w:pPr>
              <w:pStyle w:val="Tableparagraph"/>
              <w:jc w:val="center"/>
              <w:rPr>
                <w:rStyle w:val="Strong"/>
                <w:rFonts w:ascii="Arial" w:hAnsi="Arial"/>
                <w:color w:val="auto"/>
                <w:sz w:val="20"/>
                <w:szCs w:val="20"/>
              </w:rPr>
            </w:pPr>
            <w:r>
              <w:rPr>
                <w:rStyle w:val="Strong"/>
                <w:rFonts w:ascii="Arial" w:hAnsi="Arial"/>
                <w:color w:val="auto"/>
                <w:sz w:val="20"/>
                <w:szCs w:val="20"/>
              </w:rPr>
              <w:t>0.13</w:t>
            </w:r>
          </w:p>
        </w:tc>
        <w:tc>
          <w:tcPr>
            <w:tcW w:w="1790" w:type="dxa"/>
            <w:vMerge/>
            <w:shd w:val="clear" w:color="auto" w:fill="E7E2DE" w:themeFill="accent2" w:themeFillTint="33"/>
          </w:tcPr>
          <w:p w14:paraId="0D2E60E8" w14:textId="501CC610" w:rsidR="00F1758B" w:rsidRPr="00007BDD" w:rsidRDefault="00F1758B" w:rsidP="008D2010">
            <w:pPr>
              <w:pStyle w:val="Tableparagraph"/>
              <w:rPr>
                <w:rStyle w:val="Strong"/>
                <w:rFonts w:ascii="Arial" w:hAnsi="Arial"/>
                <w:color w:val="auto"/>
                <w:sz w:val="20"/>
                <w:szCs w:val="20"/>
              </w:rPr>
            </w:pPr>
          </w:p>
        </w:tc>
      </w:tr>
      <w:tr w:rsidR="00F1758B" w:rsidRPr="00D44823" w14:paraId="2726C6EC" w14:textId="238FC0D2" w:rsidTr="006C388E">
        <w:trPr>
          <w:cnfStyle w:val="000000100000" w:firstRow="0" w:lastRow="0" w:firstColumn="0" w:lastColumn="0" w:oddVBand="0" w:evenVBand="0" w:oddHBand="1" w:evenHBand="0" w:firstRowFirstColumn="0" w:firstRowLastColumn="0" w:lastRowFirstColumn="0" w:lastRowLastColumn="0"/>
        </w:trPr>
        <w:tc>
          <w:tcPr>
            <w:tcW w:w="3756" w:type="dxa"/>
            <w:shd w:val="clear" w:color="auto" w:fill="E7E2DE" w:themeFill="accent2" w:themeFillTint="33"/>
          </w:tcPr>
          <w:p w14:paraId="40A0F54B" w14:textId="77777777" w:rsidR="00F1758B" w:rsidRPr="008D2010" w:rsidRDefault="00F1758B" w:rsidP="005171F2">
            <w:pPr>
              <w:pStyle w:val="Tabledescriptorcell1"/>
              <w:rPr>
                <w:rStyle w:val="Strong"/>
                <w:rFonts w:ascii="Arial" w:hAnsi="Arial"/>
                <w:color w:val="auto"/>
              </w:rPr>
            </w:pPr>
            <w:r w:rsidRPr="006829F1">
              <w:rPr>
                <w:rStyle w:val="Strong"/>
                <w:rFonts w:ascii="Franklin Gothic Demi" w:hAnsi="Franklin Gothic Demi"/>
                <w:color w:val="0078D2"/>
              </w:rPr>
              <w:t>Metric</w:t>
            </w:r>
          </w:p>
        </w:tc>
        <w:tc>
          <w:tcPr>
            <w:tcW w:w="1906" w:type="dxa"/>
            <w:shd w:val="clear" w:color="auto" w:fill="E7E2DE" w:themeFill="accent2" w:themeFillTint="33"/>
          </w:tcPr>
          <w:p w14:paraId="79EF1649" w14:textId="5A854379" w:rsidR="00F1758B" w:rsidRPr="00D44823" w:rsidRDefault="00F1758B" w:rsidP="005171F2">
            <w:pPr>
              <w:pStyle w:val="Tableparagraph"/>
              <w:jc w:val="right"/>
              <w:rPr>
                <w:rStyle w:val="Strong"/>
                <w:rFonts w:ascii="Franklin Gothic Demi" w:hAnsi="Franklin Gothic Demi"/>
                <w:color w:val="0078D2"/>
                <w:szCs w:val="20"/>
              </w:rPr>
            </w:pPr>
            <w:r>
              <w:rPr>
                <w:rStyle w:val="Strong"/>
                <w:rFonts w:ascii="Franklin Gothic Demi" w:hAnsi="Franklin Gothic Demi"/>
                <w:color w:val="0078D2"/>
                <w:szCs w:val="20"/>
              </w:rPr>
              <w:t>2017-18 Actual</w:t>
            </w:r>
          </w:p>
        </w:tc>
        <w:tc>
          <w:tcPr>
            <w:tcW w:w="1790" w:type="dxa"/>
            <w:shd w:val="clear" w:color="auto" w:fill="E7E2DE" w:themeFill="accent2" w:themeFillTint="33"/>
          </w:tcPr>
          <w:p w14:paraId="6436D8C4" w14:textId="5F354138" w:rsidR="00F1758B" w:rsidRPr="00D44823" w:rsidRDefault="00F1758B" w:rsidP="005171F2">
            <w:pPr>
              <w:pStyle w:val="Tableparagraph"/>
              <w:jc w:val="right"/>
              <w:rPr>
                <w:rStyle w:val="Strong"/>
                <w:rFonts w:ascii="Franklin Gothic Demi" w:hAnsi="Franklin Gothic Demi"/>
                <w:color w:val="0078D2"/>
                <w:szCs w:val="20"/>
              </w:rPr>
            </w:pPr>
            <w:r w:rsidRPr="00D44823">
              <w:rPr>
                <w:rStyle w:val="Strong"/>
                <w:rFonts w:ascii="Franklin Gothic Demi" w:hAnsi="Franklin Gothic Demi"/>
                <w:color w:val="0078D2"/>
                <w:szCs w:val="20"/>
              </w:rPr>
              <w:t>PR19 (2020</w:t>
            </w:r>
            <w:r>
              <w:rPr>
                <w:rStyle w:val="Strong"/>
                <w:rFonts w:ascii="Franklin Gothic Demi" w:hAnsi="Franklin Gothic Demi"/>
                <w:color w:val="0078D2"/>
                <w:szCs w:val="20"/>
              </w:rPr>
              <w:t xml:space="preserve">-25 </w:t>
            </w:r>
            <w:r w:rsidRPr="00D44823">
              <w:rPr>
                <w:rStyle w:val="Strong"/>
                <w:rFonts w:ascii="Franklin Gothic Demi" w:hAnsi="Franklin Gothic Demi"/>
                <w:color w:val="0078D2"/>
                <w:szCs w:val="20"/>
              </w:rPr>
              <w:t>Average</w:t>
            </w:r>
            <w:r>
              <w:rPr>
                <w:rStyle w:val="Strong"/>
                <w:rFonts w:ascii="Franklin Gothic Demi" w:hAnsi="Franklin Gothic Demi"/>
                <w:color w:val="0078D2"/>
                <w:szCs w:val="20"/>
              </w:rPr>
              <w:t>)</w:t>
            </w:r>
          </w:p>
        </w:tc>
        <w:tc>
          <w:tcPr>
            <w:tcW w:w="1790" w:type="dxa"/>
            <w:shd w:val="clear" w:color="auto" w:fill="E7E2DE" w:themeFill="accent2" w:themeFillTint="33"/>
          </w:tcPr>
          <w:p w14:paraId="5CE4FD85" w14:textId="77777777" w:rsidR="00F1758B" w:rsidRPr="00D44823" w:rsidRDefault="00F1758B" w:rsidP="005171F2">
            <w:pPr>
              <w:pStyle w:val="Tableparagraph"/>
              <w:jc w:val="right"/>
              <w:rPr>
                <w:rStyle w:val="Strong"/>
                <w:rFonts w:ascii="Franklin Gothic Demi" w:hAnsi="Franklin Gothic Demi"/>
                <w:color w:val="0078D2"/>
                <w:szCs w:val="20"/>
              </w:rPr>
            </w:pPr>
          </w:p>
        </w:tc>
      </w:tr>
      <w:tr w:rsidR="00F1758B" w:rsidRPr="00D44823" w14:paraId="4D14E4F5" w14:textId="0F09367D" w:rsidTr="006C388E">
        <w:trPr>
          <w:cnfStyle w:val="000000010000" w:firstRow="0" w:lastRow="0" w:firstColumn="0" w:lastColumn="0" w:oddVBand="0" w:evenVBand="0" w:oddHBand="0" w:evenHBand="1" w:firstRowFirstColumn="0" w:firstRowLastColumn="0" w:lastRowFirstColumn="0" w:lastRowLastColumn="0"/>
        </w:trPr>
        <w:tc>
          <w:tcPr>
            <w:tcW w:w="3756" w:type="dxa"/>
            <w:shd w:val="clear" w:color="auto" w:fill="auto"/>
          </w:tcPr>
          <w:p w14:paraId="7A6BAA71" w14:textId="4ED26582" w:rsidR="00F1758B" w:rsidRPr="006829F1" w:rsidRDefault="00F1758B" w:rsidP="005171F2">
            <w:pPr>
              <w:pStyle w:val="Tabledescriptorcell1"/>
              <w:rPr>
                <w:rStyle w:val="Strong"/>
                <w:rFonts w:ascii="Franklin Gothic Demi" w:hAnsi="Franklin Gothic Demi"/>
                <w:color w:val="0078D2"/>
              </w:rPr>
            </w:pPr>
            <w:r w:rsidRPr="00007BDD">
              <w:rPr>
                <w:rStyle w:val="Strong"/>
                <w:rFonts w:ascii="Arial" w:hAnsi="Arial"/>
                <w:color w:val="auto"/>
                <w:sz w:val="20"/>
              </w:rPr>
              <w:t>Actual gearing</w:t>
            </w:r>
          </w:p>
        </w:tc>
        <w:tc>
          <w:tcPr>
            <w:tcW w:w="1906" w:type="dxa"/>
            <w:shd w:val="clear" w:color="auto" w:fill="auto"/>
          </w:tcPr>
          <w:p w14:paraId="0F76A15F" w14:textId="40F83D6E" w:rsidR="00F1758B" w:rsidRPr="006C388E" w:rsidRDefault="006C388E" w:rsidP="006C388E">
            <w:pPr>
              <w:pStyle w:val="Tableparagraph"/>
              <w:jc w:val="center"/>
              <w:rPr>
                <w:rFonts w:cs="Arial"/>
                <w:color w:val="000000"/>
                <w:sz w:val="18"/>
                <w:szCs w:val="18"/>
              </w:rPr>
            </w:pPr>
            <w:r w:rsidRPr="006C388E">
              <w:rPr>
                <w:rFonts w:cs="Arial"/>
                <w:color w:val="000000"/>
                <w:sz w:val="18"/>
                <w:szCs w:val="18"/>
              </w:rPr>
              <w:t>77.07%</w:t>
            </w:r>
          </w:p>
        </w:tc>
        <w:tc>
          <w:tcPr>
            <w:tcW w:w="1790" w:type="dxa"/>
            <w:shd w:val="clear" w:color="auto" w:fill="auto"/>
          </w:tcPr>
          <w:p w14:paraId="551977C7" w14:textId="0E59774F" w:rsidR="00F1758B" w:rsidRPr="006C388E" w:rsidRDefault="006C388E" w:rsidP="006C388E">
            <w:pPr>
              <w:pStyle w:val="Tableparagraph"/>
              <w:jc w:val="center"/>
              <w:rPr>
                <w:rFonts w:cs="Arial"/>
                <w:color w:val="000000"/>
                <w:sz w:val="18"/>
                <w:szCs w:val="18"/>
              </w:rPr>
            </w:pPr>
            <w:r w:rsidRPr="006C388E">
              <w:rPr>
                <w:rFonts w:cs="Arial"/>
                <w:color w:val="000000"/>
                <w:sz w:val="18"/>
                <w:szCs w:val="18"/>
              </w:rPr>
              <w:t>64.22%</w:t>
            </w:r>
          </w:p>
        </w:tc>
        <w:tc>
          <w:tcPr>
            <w:tcW w:w="1790" w:type="dxa"/>
            <w:vMerge w:val="restart"/>
            <w:shd w:val="clear" w:color="auto" w:fill="E7E2DE" w:themeFill="accent2" w:themeFillTint="33"/>
          </w:tcPr>
          <w:p w14:paraId="08336AC0" w14:textId="77777777" w:rsidR="00F1758B" w:rsidRPr="00D44823" w:rsidRDefault="00F1758B" w:rsidP="005171F2">
            <w:pPr>
              <w:pStyle w:val="Tableparagraph"/>
              <w:jc w:val="right"/>
              <w:rPr>
                <w:rStyle w:val="Strong"/>
                <w:rFonts w:ascii="Franklin Gothic Demi" w:hAnsi="Franklin Gothic Demi"/>
                <w:color w:val="0078D2"/>
                <w:szCs w:val="20"/>
              </w:rPr>
            </w:pPr>
          </w:p>
          <w:p w14:paraId="5AB5C126" w14:textId="77777777" w:rsidR="00F1758B" w:rsidRDefault="00F1758B" w:rsidP="005171F2">
            <w:pPr>
              <w:pStyle w:val="Tableparagraph"/>
              <w:jc w:val="right"/>
              <w:rPr>
                <w:rStyle w:val="Strong"/>
                <w:rFonts w:ascii="Franklin Gothic Demi" w:hAnsi="Franklin Gothic Demi"/>
                <w:color w:val="0078D2"/>
                <w:szCs w:val="20"/>
              </w:rPr>
            </w:pPr>
          </w:p>
          <w:p w14:paraId="6F7C082A" w14:textId="09BFABA5" w:rsidR="00F1758B" w:rsidRPr="00D44823" w:rsidRDefault="00F1758B" w:rsidP="005171F2">
            <w:pPr>
              <w:pStyle w:val="Tableparagraph"/>
              <w:jc w:val="right"/>
              <w:rPr>
                <w:rStyle w:val="Strong"/>
                <w:rFonts w:ascii="Franklin Gothic Demi" w:hAnsi="Franklin Gothic Demi"/>
                <w:color w:val="0078D2"/>
                <w:szCs w:val="20"/>
              </w:rPr>
            </w:pPr>
          </w:p>
        </w:tc>
      </w:tr>
      <w:tr w:rsidR="00F1758B" w:rsidRPr="00D44823" w14:paraId="266F0CA3" w14:textId="60FEF721" w:rsidTr="006C388E">
        <w:trPr>
          <w:cnfStyle w:val="000000100000" w:firstRow="0" w:lastRow="0" w:firstColumn="0" w:lastColumn="0" w:oddVBand="0" w:evenVBand="0" w:oddHBand="1" w:evenHBand="0" w:firstRowFirstColumn="0" w:firstRowLastColumn="0" w:lastRowFirstColumn="0" w:lastRowLastColumn="0"/>
        </w:trPr>
        <w:tc>
          <w:tcPr>
            <w:tcW w:w="3756" w:type="dxa"/>
            <w:shd w:val="clear" w:color="auto" w:fill="auto"/>
          </w:tcPr>
          <w:p w14:paraId="0F20E7A6" w14:textId="6033E2D3" w:rsidR="00F1758B" w:rsidRDefault="00F1758B" w:rsidP="005171F2">
            <w:pPr>
              <w:pStyle w:val="Tabledescriptorcell1"/>
              <w:rPr>
                <w:rStyle w:val="Strong"/>
                <w:rFonts w:ascii="Franklin Gothic Demi" w:hAnsi="Franklin Gothic Demi"/>
                <w:color w:val="0078D2"/>
              </w:rPr>
            </w:pPr>
            <w:r w:rsidRPr="00007BDD">
              <w:rPr>
                <w:rStyle w:val="Strong"/>
                <w:rFonts w:ascii="Arial" w:hAnsi="Arial"/>
                <w:color w:val="auto"/>
                <w:sz w:val="20"/>
              </w:rPr>
              <w:t>Adjusted interest cover actual</w:t>
            </w:r>
          </w:p>
        </w:tc>
        <w:tc>
          <w:tcPr>
            <w:tcW w:w="1906" w:type="dxa"/>
            <w:shd w:val="clear" w:color="auto" w:fill="auto"/>
          </w:tcPr>
          <w:p w14:paraId="7C639435" w14:textId="1942DD14" w:rsidR="00F1758B" w:rsidRPr="006C388E" w:rsidRDefault="006C388E" w:rsidP="006C388E">
            <w:pPr>
              <w:pStyle w:val="Tableparagraph"/>
              <w:jc w:val="center"/>
              <w:rPr>
                <w:rFonts w:cs="Arial"/>
                <w:color w:val="000000"/>
                <w:sz w:val="18"/>
                <w:szCs w:val="18"/>
              </w:rPr>
            </w:pPr>
            <w:r w:rsidRPr="006C388E">
              <w:rPr>
                <w:rFonts w:cs="Arial"/>
                <w:color w:val="000000"/>
                <w:sz w:val="18"/>
                <w:szCs w:val="18"/>
              </w:rPr>
              <w:t>1.90</w:t>
            </w:r>
          </w:p>
        </w:tc>
        <w:tc>
          <w:tcPr>
            <w:tcW w:w="1790" w:type="dxa"/>
            <w:shd w:val="clear" w:color="auto" w:fill="auto"/>
          </w:tcPr>
          <w:p w14:paraId="1339AB58" w14:textId="352817C4" w:rsidR="00F1758B" w:rsidRPr="006C388E" w:rsidRDefault="006C388E" w:rsidP="006C388E">
            <w:pPr>
              <w:pStyle w:val="Tableparagraph"/>
              <w:jc w:val="center"/>
              <w:rPr>
                <w:rFonts w:cs="Arial"/>
                <w:color w:val="000000"/>
                <w:sz w:val="18"/>
                <w:szCs w:val="18"/>
              </w:rPr>
            </w:pPr>
            <w:r w:rsidRPr="006C388E">
              <w:rPr>
                <w:rFonts w:cs="Arial"/>
                <w:color w:val="000000"/>
                <w:sz w:val="18"/>
                <w:szCs w:val="18"/>
              </w:rPr>
              <w:t>1.58</w:t>
            </w:r>
          </w:p>
        </w:tc>
        <w:tc>
          <w:tcPr>
            <w:tcW w:w="1790" w:type="dxa"/>
            <w:vMerge/>
            <w:shd w:val="clear" w:color="auto" w:fill="E7E2DE" w:themeFill="accent2" w:themeFillTint="33"/>
          </w:tcPr>
          <w:p w14:paraId="305B92AB" w14:textId="2134AFEC" w:rsidR="00F1758B" w:rsidRDefault="00F1758B" w:rsidP="005171F2">
            <w:pPr>
              <w:pStyle w:val="Tableparagraph"/>
              <w:jc w:val="right"/>
              <w:rPr>
                <w:rStyle w:val="Strong"/>
                <w:rFonts w:ascii="Franklin Gothic Demi" w:hAnsi="Franklin Gothic Demi"/>
                <w:color w:val="0078D2"/>
                <w:szCs w:val="20"/>
              </w:rPr>
            </w:pPr>
          </w:p>
        </w:tc>
      </w:tr>
      <w:tr w:rsidR="00F1758B" w:rsidRPr="00D44823" w14:paraId="37ADF002" w14:textId="1C49EF5D" w:rsidTr="006C388E">
        <w:trPr>
          <w:cnfStyle w:val="000000010000" w:firstRow="0" w:lastRow="0" w:firstColumn="0" w:lastColumn="0" w:oddVBand="0" w:evenVBand="0" w:oddHBand="0" w:evenHBand="1" w:firstRowFirstColumn="0" w:firstRowLastColumn="0" w:lastRowFirstColumn="0" w:lastRowLastColumn="0"/>
        </w:trPr>
        <w:tc>
          <w:tcPr>
            <w:tcW w:w="3756" w:type="dxa"/>
            <w:shd w:val="clear" w:color="auto" w:fill="auto"/>
          </w:tcPr>
          <w:p w14:paraId="4936137D" w14:textId="747CCD0D" w:rsidR="00F1758B" w:rsidRPr="00007BDD" w:rsidRDefault="00F1758B" w:rsidP="005171F2">
            <w:pPr>
              <w:pStyle w:val="Tabledescriptorcell1"/>
              <w:rPr>
                <w:rStyle w:val="Strong"/>
                <w:rFonts w:ascii="Arial" w:hAnsi="Arial"/>
                <w:color w:val="auto"/>
                <w:sz w:val="20"/>
              </w:rPr>
            </w:pPr>
            <w:r>
              <w:rPr>
                <w:rStyle w:val="Strong"/>
                <w:rFonts w:ascii="Arial" w:hAnsi="Arial"/>
                <w:color w:val="auto"/>
                <w:sz w:val="20"/>
              </w:rPr>
              <w:t>FFO net debt actual</w:t>
            </w:r>
          </w:p>
        </w:tc>
        <w:tc>
          <w:tcPr>
            <w:tcW w:w="1906" w:type="dxa"/>
            <w:shd w:val="clear" w:color="auto" w:fill="auto"/>
          </w:tcPr>
          <w:p w14:paraId="3A968ED5" w14:textId="5E248953" w:rsidR="00F1758B" w:rsidRPr="006C388E" w:rsidRDefault="006C388E" w:rsidP="006C388E">
            <w:pPr>
              <w:pStyle w:val="Tableparagraph"/>
              <w:jc w:val="center"/>
              <w:rPr>
                <w:rFonts w:cs="Arial"/>
                <w:color w:val="000000"/>
                <w:sz w:val="18"/>
                <w:szCs w:val="18"/>
              </w:rPr>
            </w:pPr>
            <w:r w:rsidRPr="006C388E">
              <w:rPr>
                <w:rFonts w:cs="Arial"/>
                <w:color w:val="000000"/>
                <w:sz w:val="18"/>
                <w:szCs w:val="18"/>
              </w:rPr>
              <w:t>0.11</w:t>
            </w:r>
          </w:p>
        </w:tc>
        <w:tc>
          <w:tcPr>
            <w:tcW w:w="1790" w:type="dxa"/>
            <w:shd w:val="clear" w:color="auto" w:fill="auto"/>
          </w:tcPr>
          <w:p w14:paraId="3CF254D9" w14:textId="3AB52E2A" w:rsidR="00F1758B" w:rsidRPr="006C388E" w:rsidRDefault="006C388E" w:rsidP="006C388E">
            <w:pPr>
              <w:pStyle w:val="Tableparagraph"/>
              <w:jc w:val="center"/>
              <w:rPr>
                <w:rFonts w:cs="Arial"/>
                <w:color w:val="000000"/>
                <w:sz w:val="18"/>
                <w:szCs w:val="18"/>
              </w:rPr>
            </w:pPr>
            <w:r w:rsidRPr="006C388E">
              <w:rPr>
                <w:rFonts w:cs="Arial"/>
                <w:color w:val="000000"/>
                <w:sz w:val="18"/>
                <w:szCs w:val="18"/>
              </w:rPr>
              <w:t>0.13</w:t>
            </w:r>
          </w:p>
        </w:tc>
        <w:tc>
          <w:tcPr>
            <w:tcW w:w="1790" w:type="dxa"/>
            <w:vMerge/>
            <w:shd w:val="clear" w:color="auto" w:fill="E7E2DE" w:themeFill="accent2" w:themeFillTint="33"/>
          </w:tcPr>
          <w:p w14:paraId="5B7093B5" w14:textId="190ADA04" w:rsidR="00F1758B" w:rsidRDefault="00F1758B" w:rsidP="005171F2">
            <w:pPr>
              <w:pStyle w:val="Tableparagraph"/>
              <w:jc w:val="right"/>
              <w:rPr>
                <w:rStyle w:val="Strong"/>
                <w:rFonts w:ascii="Franklin Gothic Demi" w:hAnsi="Franklin Gothic Demi"/>
                <w:color w:val="0078D2"/>
                <w:szCs w:val="20"/>
              </w:rPr>
            </w:pPr>
          </w:p>
        </w:tc>
      </w:tr>
    </w:tbl>
    <w:p w14:paraId="4C5EA8AC" w14:textId="649D52BB" w:rsidR="00B66CFE" w:rsidRPr="00B66CFE" w:rsidRDefault="00B66CFE" w:rsidP="006C388E">
      <w:pPr>
        <w:pStyle w:val="Tableheading"/>
        <w:keepNext/>
      </w:pPr>
      <w:bookmarkStart w:id="11" w:name="_Toc510692482"/>
      <w:r w:rsidRPr="00B66CFE">
        <w:lastRenderedPageBreak/>
        <w:t xml:space="preserve">Commitment to financial resilience </w:t>
      </w:r>
    </w:p>
    <w:p w14:paraId="1CA4D755" w14:textId="7CB4394A" w:rsidR="00627E34" w:rsidRDefault="009D0E8E" w:rsidP="00627E34">
      <w:pPr>
        <w:jc w:val="both"/>
        <w:rPr>
          <w:rFonts w:cs="Arial"/>
          <w:szCs w:val="28"/>
        </w:rPr>
      </w:pPr>
      <w:r>
        <w:rPr>
          <w:rFonts w:cs="Arial"/>
          <w:szCs w:val="28"/>
        </w:rPr>
        <w:t xml:space="preserve">We are taking action to change the balance of our financing structure to align with the assumptions adopted </w:t>
      </w:r>
      <w:r w:rsidR="006C388E">
        <w:rPr>
          <w:rFonts w:cs="Arial"/>
          <w:szCs w:val="28"/>
        </w:rPr>
        <w:t xml:space="preserve">in </w:t>
      </w:r>
      <w:r>
        <w:rPr>
          <w:rFonts w:cs="Arial"/>
          <w:szCs w:val="28"/>
        </w:rPr>
        <w:t xml:space="preserve">the PR19 </w:t>
      </w:r>
      <w:r w:rsidR="006C388E">
        <w:rPr>
          <w:rFonts w:cs="Arial"/>
          <w:szCs w:val="28"/>
        </w:rPr>
        <w:t>Methodology</w:t>
      </w:r>
      <w:r>
        <w:rPr>
          <w:rFonts w:cs="Arial"/>
          <w:szCs w:val="28"/>
        </w:rPr>
        <w:t xml:space="preserve">. </w:t>
      </w:r>
      <w:r w:rsidR="00627E34">
        <w:rPr>
          <w:rFonts w:cs="Arial"/>
          <w:szCs w:val="28"/>
        </w:rPr>
        <w:t xml:space="preserve">This involves reducing levels of net debt where it is economic to do so and increasing shareholder equity. </w:t>
      </w:r>
      <w:r>
        <w:rPr>
          <w:rFonts w:cs="Arial"/>
          <w:szCs w:val="28"/>
        </w:rPr>
        <w:t>Th</w:t>
      </w:r>
      <w:r w:rsidR="00627E34">
        <w:rPr>
          <w:rFonts w:cs="Arial"/>
          <w:szCs w:val="28"/>
        </w:rPr>
        <w:t>is</w:t>
      </w:r>
      <w:r>
        <w:rPr>
          <w:rFonts w:cs="Arial"/>
          <w:szCs w:val="28"/>
        </w:rPr>
        <w:t xml:space="preserve"> will be </w:t>
      </w:r>
      <w:r w:rsidR="00627E34">
        <w:rPr>
          <w:rFonts w:cs="Arial"/>
          <w:szCs w:val="28"/>
        </w:rPr>
        <w:t>completed</w:t>
      </w:r>
      <w:r>
        <w:rPr>
          <w:rFonts w:cs="Arial"/>
          <w:szCs w:val="28"/>
        </w:rPr>
        <w:t xml:space="preserve"> by 2020 and </w:t>
      </w:r>
      <w:r w:rsidR="00627E34">
        <w:rPr>
          <w:rFonts w:cs="Arial"/>
          <w:szCs w:val="28"/>
        </w:rPr>
        <w:t>will reduce our regulatory gearing from 77% at 31 March 2018 to below 60% at 31 March 2020. At 31 March 2025 gearing will be 64.7%. For 2025-30 gearing averages 66.2%.</w:t>
      </w:r>
    </w:p>
    <w:p w14:paraId="3D33A073" w14:textId="17E2B337" w:rsidR="009D0E8E" w:rsidRPr="009D0E8E" w:rsidRDefault="00627E34" w:rsidP="00627E34">
      <w:pPr>
        <w:jc w:val="both"/>
        <w:rPr>
          <w:rFonts w:cs="Arial"/>
          <w:szCs w:val="28"/>
        </w:rPr>
      </w:pPr>
      <w:r>
        <w:rPr>
          <w:rFonts w:cs="Arial"/>
          <w:szCs w:val="28"/>
        </w:rPr>
        <w:t>We have stress tested our financial resilience to 2030 using the same approach that we used for our Long-Term Viability S</w:t>
      </w:r>
      <w:r w:rsidR="006C388E">
        <w:rPr>
          <w:rFonts w:cs="Arial"/>
          <w:szCs w:val="28"/>
        </w:rPr>
        <w:t>tatement, published in our 20</w:t>
      </w:r>
      <w:r>
        <w:rPr>
          <w:rFonts w:cs="Arial"/>
          <w:szCs w:val="28"/>
        </w:rPr>
        <w:t xml:space="preserve">18 Annual Report.  We </w:t>
      </w:r>
      <w:r w:rsidR="00A609BD">
        <w:rPr>
          <w:rFonts w:cs="Arial"/>
          <w:szCs w:val="28"/>
        </w:rPr>
        <w:t>consider that we have adequate headroom for severe but remote events through to 2025, but consider that additional headroom is needed beyond 2025. We have secured a letter of support from our shareholders to provide the assurance required by our Board for the post-2025 period.</w:t>
      </w:r>
    </w:p>
    <w:p w14:paraId="5499E91C" w14:textId="46463D1E" w:rsidR="009D0E8E" w:rsidRDefault="009D0E8E" w:rsidP="009D0E8E">
      <w:pPr>
        <w:jc w:val="both"/>
        <w:rPr>
          <w:rFonts w:cs="Arial"/>
          <w:szCs w:val="28"/>
        </w:rPr>
      </w:pPr>
    </w:p>
    <w:p w14:paraId="414565DB" w14:textId="2AC8318F" w:rsidR="009D0E8E" w:rsidRDefault="009D0E8E" w:rsidP="009D0E8E">
      <w:pPr>
        <w:jc w:val="both"/>
        <w:rPr>
          <w:rFonts w:cs="Arial"/>
        </w:rPr>
      </w:pPr>
    </w:p>
    <w:p w14:paraId="48EF8676" w14:textId="77777777" w:rsidR="00771E92" w:rsidRDefault="00771E92">
      <w:pPr>
        <w:spacing w:before="0" w:after="200" w:line="276" w:lineRule="auto"/>
        <w:rPr>
          <w:rStyle w:val="Strong"/>
          <w:rFonts w:ascii="Franklin Gothic Demi" w:eastAsia="Times New Roman" w:hAnsi="Franklin Gothic Demi" w:cs="Arial"/>
          <w:color w:val="003479"/>
          <w:szCs w:val="24"/>
          <w:lang w:val="en" w:eastAsia="en-GB"/>
        </w:rPr>
      </w:pPr>
      <w:r>
        <w:rPr>
          <w:rStyle w:val="Strong"/>
          <w:rFonts w:ascii="Franklin Gothic Demi" w:hAnsi="Franklin Gothic Demi"/>
          <w:color w:val="003479"/>
        </w:rPr>
        <w:br w:type="page"/>
      </w:r>
    </w:p>
    <w:p w14:paraId="05AB8336" w14:textId="02210CAA" w:rsidR="00716C01" w:rsidRPr="008D2010" w:rsidRDefault="00716C01" w:rsidP="0081353F">
      <w:pPr>
        <w:pStyle w:val="Tableheading"/>
        <w:keepNext/>
        <w:rPr>
          <w:rStyle w:val="Strong"/>
          <w:rFonts w:ascii="Franklin Gothic Demi" w:hAnsi="Franklin Gothic Demi"/>
          <w:color w:val="003479"/>
        </w:rPr>
      </w:pPr>
      <w:r w:rsidRPr="008D2010">
        <w:rPr>
          <w:rStyle w:val="Strong"/>
          <w:rFonts w:ascii="Franklin Gothic Demi" w:hAnsi="Franklin Gothic Demi"/>
          <w:color w:val="003479"/>
        </w:rPr>
        <w:lastRenderedPageBreak/>
        <w:t xml:space="preserve">Table </w:t>
      </w:r>
      <w:r w:rsidR="004B5A05">
        <w:rPr>
          <w:rStyle w:val="Strong"/>
          <w:rFonts w:ascii="Franklin Gothic Demi" w:hAnsi="Franklin Gothic Demi"/>
          <w:color w:val="003479"/>
        </w:rPr>
        <w:t>2</w:t>
      </w:r>
      <w:r w:rsidR="007F3EBC" w:rsidRPr="008D2010">
        <w:rPr>
          <w:rStyle w:val="Strong"/>
          <w:rFonts w:ascii="Franklin Gothic Demi" w:hAnsi="Franklin Gothic Demi"/>
          <w:color w:val="003479"/>
        </w:rPr>
        <w:t>.</w:t>
      </w:r>
      <w:r w:rsidRPr="008D2010">
        <w:rPr>
          <w:rStyle w:val="Strong"/>
          <w:rFonts w:ascii="Franklin Gothic Demi" w:hAnsi="Franklin Gothic Demi"/>
          <w:color w:val="003479"/>
        </w:rPr>
        <w:t>3: RCV</w:t>
      </w:r>
      <w:bookmarkEnd w:id="11"/>
    </w:p>
    <w:tbl>
      <w:tblPr>
        <w:tblStyle w:val="Ofwatnew"/>
        <w:tblW w:w="5000" w:type="pct"/>
        <w:tblLook w:val="04A0" w:firstRow="1" w:lastRow="0" w:firstColumn="1" w:lastColumn="0" w:noHBand="0" w:noVBand="1"/>
      </w:tblPr>
      <w:tblGrid>
        <w:gridCol w:w="3661"/>
        <w:gridCol w:w="2267"/>
        <w:gridCol w:w="1847"/>
        <w:gridCol w:w="1241"/>
      </w:tblGrid>
      <w:tr w:rsidR="004E411A" w:rsidRPr="004E411A" w14:paraId="50A7EF22" w14:textId="77777777" w:rsidTr="006C388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73" w:type="dxa"/>
          </w:tcPr>
          <w:p w14:paraId="5F1A1978" w14:textId="77777777" w:rsidR="00716C01" w:rsidRDefault="004B748D" w:rsidP="0081353F">
            <w:pPr>
              <w:pStyle w:val="Tabledescriptorcell1"/>
              <w:keepNext/>
              <w:rPr>
                <w:rStyle w:val="Strong"/>
                <w:rFonts w:ascii="Franklin Gothic Demi" w:hAnsi="Franklin Gothic Demi"/>
                <w:color w:val="0078D2"/>
              </w:rPr>
            </w:pPr>
            <w:r>
              <w:rPr>
                <w:rStyle w:val="Strong"/>
                <w:rFonts w:ascii="Franklin Gothic Demi" w:hAnsi="Franklin Gothic Demi"/>
                <w:color w:val="0078D2"/>
              </w:rPr>
              <w:t>Control</w:t>
            </w:r>
          </w:p>
          <w:p w14:paraId="1FD55475" w14:textId="591CDC43" w:rsidR="00F00542" w:rsidRPr="00146475" w:rsidRDefault="00F00542" w:rsidP="0081353F">
            <w:pPr>
              <w:pStyle w:val="Tabledescriptorcell1"/>
              <w:keepNext/>
              <w:rPr>
                <w:rFonts w:ascii="Arial" w:hAnsi="Arial" w:cs="Arial"/>
                <w:noProof/>
                <w:color w:val="auto"/>
                <w:sz w:val="18"/>
                <w:szCs w:val="18"/>
              </w:rPr>
            </w:pPr>
          </w:p>
        </w:tc>
        <w:tc>
          <w:tcPr>
            <w:tcW w:w="2325" w:type="dxa"/>
          </w:tcPr>
          <w:p w14:paraId="668B74CD" w14:textId="77777777" w:rsidR="00716C01"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1 April 2020</w:t>
            </w:r>
            <w:r w:rsidR="00A30AB2" w:rsidRPr="008D2010">
              <w:rPr>
                <w:rStyle w:val="Strong"/>
                <w:rFonts w:ascii="Franklin Gothic Demi" w:hAnsi="Franklin Gothic Demi"/>
                <w:color w:val="0078D2"/>
              </w:rPr>
              <w:t xml:space="preserve"> </w:t>
            </w:r>
            <w:r w:rsidR="00716C01" w:rsidRPr="006829F1">
              <w:rPr>
                <w:rStyle w:val="Strong"/>
                <w:rFonts w:ascii="Franklin Gothic Demi" w:hAnsi="Franklin Gothic Demi"/>
                <w:color w:val="0078D2"/>
              </w:rPr>
              <w:t xml:space="preserve"> (£m)</w:t>
            </w:r>
          </w:p>
          <w:p w14:paraId="2B3A5D5F" w14:textId="77777777" w:rsidR="00935400"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Opening RCV</w:t>
            </w:r>
          </w:p>
          <w:p w14:paraId="5615DBED" w14:textId="791CCE57" w:rsidR="00146475" w:rsidRPr="006829F1"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146475">
              <w:rPr>
                <w:rStyle w:val="Strong"/>
                <w:rFonts w:ascii="Arial" w:hAnsi="Arial" w:cs="Arial"/>
                <w:color w:val="0078D2"/>
                <w:sz w:val="18"/>
                <w:szCs w:val="18"/>
              </w:rPr>
              <w:t>2017-18 FYA (CPIH deflated)</w:t>
            </w:r>
          </w:p>
        </w:tc>
        <w:tc>
          <w:tcPr>
            <w:tcW w:w="1889" w:type="dxa"/>
          </w:tcPr>
          <w:p w14:paraId="731544D4" w14:textId="77777777" w:rsidR="00716C01" w:rsidRDefault="006829F1"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 xml:space="preserve">30 March </w:t>
            </w:r>
            <w:r w:rsidR="00716C01" w:rsidRPr="008D2010">
              <w:rPr>
                <w:rStyle w:val="Strong"/>
                <w:rFonts w:ascii="Franklin Gothic Demi" w:hAnsi="Franklin Gothic Demi"/>
                <w:color w:val="0078D2"/>
              </w:rPr>
              <w:t>2025 (£m)</w:t>
            </w:r>
          </w:p>
          <w:p w14:paraId="24C1AA34" w14:textId="77777777" w:rsidR="00935400" w:rsidRDefault="00935400" w:rsidP="0081353F">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Pr>
                <w:rStyle w:val="Strong"/>
                <w:rFonts w:ascii="Franklin Gothic Demi" w:hAnsi="Franklin Gothic Demi"/>
                <w:color w:val="0078D2"/>
              </w:rPr>
              <w:t>Closing RCV</w:t>
            </w:r>
          </w:p>
          <w:p w14:paraId="1FA3019F" w14:textId="34AB4E4E" w:rsidR="00146475" w:rsidRPr="004E411A" w:rsidRDefault="00146475"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Cs w:val="24"/>
              </w:rPr>
            </w:pPr>
            <w:r w:rsidRPr="00146475">
              <w:rPr>
                <w:rStyle w:val="Strong"/>
                <w:rFonts w:ascii="Arial" w:hAnsi="Arial" w:cs="Arial"/>
                <w:color w:val="0078D2"/>
                <w:sz w:val="18"/>
                <w:szCs w:val="18"/>
              </w:rPr>
              <w:t>2017-18 FYA (CPIH deflated)</w:t>
            </w:r>
          </w:p>
        </w:tc>
        <w:tc>
          <w:tcPr>
            <w:tcW w:w="1255" w:type="dxa"/>
          </w:tcPr>
          <w:p w14:paraId="4B81E12A" w14:textId="77777777" w:rsidR="00716C01" w:rsidRPr="004E411A" w:rsidRDefault="00716C01" w:rsidP="0081353F">
            <w:pPr>
              <w:pStyle w:val="Tabledescriptorcell1"/>
              <w:keepN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Cs w:val="24"/>
              </w:rPr>
            </w:pPr>
            <w:r w:rsidRPr="008D2010">
              <w:rPr>
                <w:rStyle w:val="Strong"/>
                <w:rFonts w:ascii="Franklin Gothic Demi" w:hAnsi="Franklin Gothic Demi"/>
                <w:color w:val="0078D2"/>
              </w:rPr>
              <w:t>% growth</w:t>
            </w:r>
          </w:p>
        </w:tc>
      </w:tr>
      <w:tr w:rsidR="006C388E" w:rsidRPr="004E411A" w14:paraId="0E521BE0" w14:textId="77777777" w:rsidTr="006C388E">
        <w:trPr>
          <w:cnfStyle w:val="000000100000" w:firstRow="0" w:lastRow="0" w:firstColumn="0" w:lastColumn="0" w:oddVBand="0" w:evenVBand="0" w:oddHBand="1" w:evenHBand="0" w:firstRowFirstColumn="0" w:firstRowLastColumn="0" w:lastRowFirstColumn="0" w:lastRowLastColumn="0"/>
        </w:trPr>
        <w:tc>
          <w:tcPr>
            <w:tcW w:w="3773" w:type="dxa"/>
          </w:tcPr>
          <w:p w14:paraId="558DD440" w14:textId="1D4A8337" w:rsidR="006C388E" w:rsidRPr="00007BDD" w:rsidRDefault="006C388E" w:rsidP="000C5480">
            <w:pPr>
              <w:pStyle w:val="Tableparagraph"/>
              <w:rPr>
                <w:rFonts w:asciiTheme="minorHAnsi" w:hAnsiTheme="minorHAnsi" w:cstheme="minorHAnsi"/>
                <w:noProof/>
                <w:szCs w:val="20"/>
              </w:rPr>
            </w:pPr>
            <w:r w:rsidRPr="00007BDD">
              <w:rPr>
                <w:rStyle w:val="Strong"/>
                <w:rFonts w:ascii="Arial" w:hAnsi="Arial"/>
                <w:color w:val="auto"/>
                <w:sz w:val="20"/>
                <w:szCs w:val="20"/>
              </w:rPr>
              <w:t xml:space="preserve">Water </w:t>
            </w:r>
            <w:r>
              <w:rPr>
                <w:rStyle w:val="Strong"/>
                <w:rFonts w:ascii="Arial" w:hAnsi="Arial"/>
                <w:color w:val="auto"/>
                <w:sz w:val="20"/>
                <w:szCs w:val="20"/>
              </w:rPr>
              <w:t>r</w:t>
            </w:r>
            <w:r w:rsidRPr="00007BDD">
              <w:rPr>
                <w:rStyle w:val="Strong"/>
                <w:rFonts w:ascii="Arial" w:hAnsi="Arial"/>
                <w:color w:val="auto"/>
                <w:sz w:val="20"/>
                <w:szCs w:val="20"/>
              </w:rPr>
              <w:t>esources RCV</w:t>
            </w:r>
          </w:p>
        </w:tc>
        <w:tc>
          <w:tcPr>
            <w:tcW w:w="2325" w:type="dxa"/>
            <w:vAlign w:val="center"/>
          </w:tcPr>
          <w:p w14:paraId="3D14807B" w14:textId="25684B5B" w:rsidR="006C388E" w:rsidRPr="00007BDD" w:rsidRDefault="006C388E" w:rsidP="006C388E">
            <w:pPr>
              <w:pStyle w:val="Tableparagraph"/>
              <w:jc w:val="center"/>
              <w:rPr>
                <w:szCs w:val="20"/>
              </w:rPr>
            </w:pPr>
            <w:r>
              <w:rPr>
                <w:rFonts w:cs="Arial"/>
                <w:color w:val="000000"/>
                <w:sz w:val="18"/>
                <w:szCs w:val="18"/>
              </w:rPr>
              <w:t>13.173</w:t>
            </w:r>
          </w:p>
        </w:tc>
        <w:tc>
          <w:tcPr>
            <w:tcW w:w="1889" w:type="dxa"/>
            <w:vAlign w:val="center"/>
          </w:tcPr>
          <w:p w14:paraId="5691B15E" w14:textId="2D1F9829" w:rsidR="006C388E" w:rsidRPr="00007BDD" w:rsidRDefault="006C388E" w:rsidP="006C388E">
            <w:pPr>
              <w:pStyle w:val="Tableparagraph"/>
              <w:jc w:val="center"/>
              <w:rPr>
                <w:szCs w:val="20"/>
              </w:rPr>
            </w:pPr>
            <w:r>
              <w:rPr>
                <w:rFonts w:cs="Arial"/>
                <w:color w:val="000000"/>
                <w:sz w:val="18"/>
                <w:szCs w:val="18"/>
              </w:rPr>
              <w:t>12.953</w:t>
            </w:r>
          </w:p>
        </w:tc>
        <w:tc>
          <w:tcPr>
            <w:tcW w:w="1255" w:type="dxa"/>
            <w:vAlign w:val="center"/>
          </w:tcPr>
          <w:p w14:paraId="2E4E5651" w14:textId="301D15EB" w:rsidR="006C388E" w:rsidRPr="00007BDD" w:rsidRDefault="006C388E" w:rsidP="006C388E">
            <w:pPr>
              <w:pStyle w:val="Tableparagraph"/>
              <w:jc w:val="center"/>
              <w:rPr>
                <w:szCs w:val="20"/>
              </w:rPr>
            </w:pPr>
            <w:r>
              <w:rPr>
                <w:rFonts w:cs="Arial"/>
                <w:color w:val="000000"/>
                <w:sz w:val="18"/>
                <w:szCs w:val="18"/>
              </w:rPr>
              <w:t>-2%</w:t>
            </w:r>
          </w:p>
        </w:tc>
      </w:tr>
      <w:tr w:rsidR="006C388E" w:rsidRPr="004E411A" w14:paraId="6C681517" w14:textId="77777777" w:rsidTr="006C388E">
        <w:trPr>
          <w:cnfStyle w:val="000000010000" w:firstRow="0" w:lastRow="0" w:firstColumn="0" w:lastColumn="0" w:oddVBand="0" w:evenVBand="0" w:oddHBand="0" w:evenHBand="1" w:firstRowFirstColumn="0" w:firstRowLastColumn="0" w:lastRowFirstColumn="0" w:lastRowLastColumn="0"/>
        </w:trPr>
        <w:tc>
          <w:tcPr>
            <w:tcW w:w="3773" w:type="dxa"/>
          </w:tcPr>
          <w:p w14:paraId="7F04078F" w14:textId="3AAE2B55" w:rsidR="006C388E" w:rsidRPr="00007BDD" w:rsidRDefault="006C388E" w:rsidP="000C5480">
            <w:pPr>
              <w:pStyle w:val="Tableparagraph"/>
              <w:rPr>
                <w:rFonts w:asciiTheme="minorHAnsi" w:hAnsiTheme="minorHAnsi" w:cstheme="minorHAnsi"/>
                <w:noProof/>
                <w:szCs w:val="20"/>
              </w:rPr>
            </w:pPr>
            <w:r w:rsidRPr="00007BDD">
              <w:rPr>
                <w:rStyle w:val="Strong"/>
                <w:rFonts w:ascii="Arial" w:hAnsi="Arial"/>
                <w:color w:val="auto"/>
                <w:sz w:val="20"/>
                <w:szCs w:val="20"/>
              </w:rPr>
              <w:t xml:space="preserve">Water </w:t>
            </w:r>
            <w:r>
              <w:rPr>
                <w:rStyle w:val="Strong"/>
                <w:rFonts w:ascii="Arial" w:hAnsi="Arial"/>
                <w:color w:val="auto"/>
                <w:sz w:val="20"/>
                <w:szCs w:val="20"/>
              </w:rPr>
              <w:t>n</w:t>
            </w:r>
            <w:r w:rsidRPr="00007BDD">
              <w:rPr>
                <w:rStyle w:val="Strong"/>
                <w:rFonts w:ascii="Arial" w:hAnsi="Arial"/>
                <w:color w:val="auto"/>
                <w:sz w:val="20"/>
                <w:szCs w:val="20"/>
              </w:rPr>
              <w:t xml:space="preserve">etwork Plus RCV </w:t>
            </w:r>
          </w:p>
        </w:tc>
        <w:tc>
          <w:tcPr>
            <w:tcW w:w="2325" w:type="dxa"/>
            <w:vAlign w:val="center"/>
          </w:tcPr>
          <w:p w14:paraId="58A2F913" w14:textId="66DE949D" w:rsidR="006C388E" w:rsidRPr="00007BDD" w:rsidRDefault="006C388E" w:rsidP="006C388E">
            <w:pPr>
              <w:pStyle w:val="Tableparagraph"/>
              <w:jc w:val="center"/>
              <w:rPr>
                <w:szCs w:val="20"/>
              </w:rPr>
            </w:pPr>
            <w:r>
              <w:rPr>
                <w:rFonts w:cs="Arial"/>
                <w:color w:val="000000"/>
                <w:sz w:val="18"/>
                <w:szCs w:val="18"/>
              </w:rPr>
              <w:t>238.558</w:t>
            </w:r>
          </w:p>
        </w:tc>
        <w:tc>
          <w:tcPr>
            <w:tcW w:w="1889" w:type="dxa"/>
            <w:vAlign w:val="center"/>
          </w:tcPr>
          <w:p w14:paraId="7F3A3F1E" w14:textId="03F82660" w:rsidR="006C388E" w:rsidRPr="00007BDD" w:rsidRDefault="006C388E" w:rsidP="006C388E">
            <w:pPr>
              <w:pStyle w:val="Tableparagraph"/>
              <w:jc w:val="center"/>
              <w:rPr>
                <w:szCs w:val="20"/>
              </w:rPr>
            </w:pPr>
            <w:r>
              <w:rPr>
                <w:rFonts w:cs="Arial"/>
                <w:color w:val="000000"/>
                <w:sz w:val="18"/>
                <w:szCs w:val="18"/>
              </w:rPr>
              <w:t>266.100</w:t>
            </w:r>
          </w:p>
        </w:tc>
        <w:tc>
          <w:tcPr>
            <w:tcW w:w="1255" w:type="dxa"/>
            <w:vAlign w:val="center"/>
          </w:tcPr>
          <w:p w14:paraId="78944D58" w14:textId="61E4F475" w:rsidR="006C388E" w:rsidRPr="00007BDD" w:rsidRDefault="006C388E" w:rsidP="006C388E">
            <w:pPr>
              <w:pStyle w:val="Tableparagraph"/>
              <w:jc w:val="center"/>
              <w:rPr>
                <w:szCs w:val="20"/>
              </w:rPr>
            </w:pPr>
            <w:r>
              <w:rPr>
                <w:rFonts w:cs="Arial"/>
                <w:color w:val="000000"/>
                <w:sz w:val="18"/>
                <w:szCs w:val="18"/>
              </w:rPr>
              <w:t>12%</w:t>
            </w:r>
          </w:p>
        </w:tc>
      </w:tr>
      <w:tr w:rsidR="00D11FD1" w:rsidRPr="004E411A" w14:paraId="680FAECF" w14:textId="77777777" w:rsidTr="006C388E">
        <w:trPr>
          <w:cnfStyle w:val="000000100000" w:firstRow="0" w:lastRow="0" w:firstColumn="0" w:lastColumn="0" w:oddVBand="0" w:evenVBand="0" w:oddHBand="1" w:evenHBand="0" w:firstRowFirstColumn="0" w:firstRowLastColumn="0" w:lastRowFirstColumn="0" w:lastRowLastColumn="0"/>
        </w:trPr>
        <w:tc>
          <w:tcPr>
            <w:tcW w:w="3773" w:type="dxa"/>
            <w:shd w:val="clear" w:color="auto" w:fill="BFBFBF" w:themeFill="background1" w:themeFillShade="BF"/>
          </w:tcPr>
          <w:p w14:paraId="130AD530" w14:textId="5217F543" w:rsidR="00D11FD1" w:rsidRPr="00007BDD" w:rsidRDefault="004B748D" w:rsidP="000C5480">
            <w:pPr>
              <w:pStyle w:val="Tableparagraph"/>
              <w:rPr>
                <w:rStyle w:val="Strong"/>
                <w:rFonts w:ascii="Arial" w:hAnsi="Arial"/>
                <w:color w:val="auto"/>
                <w:sz w:val="20"/>
                <w:szCs w:val="20"/>
              </w:rPr>
            </w:pPr>
            <w:r w:rsidRPr="00007BDD">
              <w:rPr>
                <w:rStyle w:val="Strong"/>
                <w:rFonts w:ascii="Arial" w:hAnsi="Arial"/>
                <w:color w:val="auto"/>
                <w:sz w:val="20"/>
                <w:szCs w:val="20"/>
              </w:rPr>
              <w:t xml:space="preserve">Wastewater </w:t>
            </w:r>
            <w:r w:rsidR="000C5480">
              <w:rPr>
                <w:rStyle w:val="Strong"/>
                <w:rFonts w:ascii="Arial" w:hAnsi="Arial"/>
                <w:color w:val="auto"/>
                <w:sz w:val="20"/>
                <w:szCs w:val="20"/>
              </w:rPr>
              <w:t>n</w:t>
            </w:r>
            <w:r w:rsidRPr="00007BDD">
              <w:rPr>
                <w:rStyle w:val="Strong"/>
                <w:rFonts w:ascii="Arial" w:hAnsi="Arial"/>
                <w:color w:val="auto"/>
                <w:sz w:val="20"/>
                <w:szCs w:val="20"/>
              </w:rPr>
              <w:t>etwork Plus RCV</w:t>
            </w:r>
          </w:p>
        </w:tc>
        <w:tc>
          <w:tcPr>
            <w:tcW w:w="2325" w:type="dxa"/>
            <w:shd w:val="clear" w:color="auto" w:fill="BFBFBF" w:themeFill="background1" w:themeFillShade="BF"/>
          </w:tcPr>
          <w:p w14:paraId="21A13C2D" w14:textId="77777777" w:rsidR="00D11FD1" w:rsidRPr="00007BDD" w:rsidRDefault="00D11FD1" w:rsidP="008D2010">
            <w:pPr>
              <w:pStyle w:val="Tableparagraph"/>
              <w:rPr>
                <w:szCs w:val="20"/>
              </w:rPr>
            </w:pPr>
          </w:p>
        </w:tc>
        <w:tc>
          <w:tcPr>
            <w:tcW w:w="1889" w:type="dxa"/>
            <w:shd w:val="clear" w:color="auto" w:fill="BFBFBF" w:themeFill="background1" w:themeFillShade="BF"/>
          </w:tcPr>
          <w:p w14:paraId="418E447E" w14:textId="77777777" w:rsidR="00D11FD1" w:rsidRPr="00007BDD" w:rsidRDefault="00D11FD1" w:rsidP="008D2010">
            <w:pPr>
              <w:pStyle w:val="Tableparagraph"/>
              <w:rPr>
                <w:szCs w:val="20"/>
              </w:rPr>
            </w:pPr>
          </w:p>
        </w:tc>
        <w:tc>
          <w:tcPr>
            <w:tcW w:w="1255" w:type="dxa"/>
            <w:shd w:val="clear" w:color="auto" w:fill="BFBFBF" w:themeFill="background1" w:themeFillShade="BF"/>
          </w:tcPr>
          <w:p w14:paraId="09E66DD1" w14:textId="77777777" w:rsidR="00D11FD1" w:rsidRPr="00007BDD" w:rsidRDefault="00D11FD1" w:rsidP="008D2010">
            <w:pPr>
              <w:pStyle w:val="Tableparagraph"/>
              <w:rPr>
                <w:szCs w:val="20"/>
              </w:rPr>
            </w:pPr>
          </w:p>
        </w:tc>
      </w:tr>
      <w:tr w:rsidR="00D11FD1" w:rsidRPr="004E411A" w14:paraId="57C41DAA" w14:textId="77777777" w:rsidTr="006C388E">
        <w:trPr>
          <w:cnfStyle w:val="000000010000" w:firstRow="0" w:lastRow="0" w:firstColumn="0" w:lastColumn="0" w:oddVBand="0" w:evenVBand="0" w:oddHBand="0" w:evenHBand="1" w:firstRowFirstColumn="0" w:firstRowLastColumn="0" w:lastRowFirstColumn="0" w:lastRowLastColumn="0"/>
        </w:trPr>
        <w:tc>
          <w:tcPr>
            <w:tcW w:w="3773" w:type="dxa"/>
            <w:shd w:val="clear" w:color="auto" w:fill="BFBFBF" w:themeFill="background1" w:themeFillShade="BF"/>
          </w:tcPr>
          <w:p w14:paraId="1E02E304" w14:textId="158C1172" w:rsidR="00D11FD1" w:rsidRPr="00007BDD" w:rsidRDefault="004B748D" w:rsidP="008D2010">
            <w:pPr>
              <w:pStyle w:val="Tableparagraph"/>
              <w:rPr>
                <w:rStyle w:val="Strong"/>
                <w:rFonts w:ascii="Arial" w:hAnsi="Arial"/>
                <w:color w:val="auto"/>
                <w:sz w:val="20"/>
                <w:szCs w:val="20"/>
              </w:rPr>
            </w:pPr>
            <w:r w:rsidRPr="00007BDD">
              <w:rPr>
                <w:rStyle w:val="Strong"/>
                <w:rFonts w:ascii="Arial" w:hAnsi="Arial"/>
                <w:color w:val="auto"/>
                <w:sz w:val="20"/>
                <w:szCs w:val="20"/>
              </w:rPr>
              <w:t>Bioresources RCV</w:t>
            </w:r>
          </w:p>
        </w:tc>
        <w:tc>
          <w:tcPr>
            <w:tcW w:w="2325" w:type="dxa"/>
            <w:shd w:val="clear" w:color="auto" w:fill="BFBFBF" w:themeFill="background1" w:themeFillShade="BF"/>
          </w:tcPr>
          <w:p w14:paraId="6FCBE0EC" w14:textId="77777777" w:rsidR="00D11FD1" w:rsidRPr="00007BDD" w:rsidRDefault="00D11FD1" w:rsidP="008D2010">
            <w:pPr>
              <w:pStyle w:val="Tableparagraph"/>
              <w:rPr>
                <w:szCs w:val="20"/>
              </w:rPr>
            </w:pPr>
          </w:p>
        </w:tc>
        <w:tc>
          <w:tcPr>
            <w:tcW w:w="1889" w:type="dxa"/>
            <w:shd w:val="clear" w:color="auto" w:fill="BFBFBF" w:themeFill="background1" w:themeFillShade="BF"/>
          </w:tcPr>
          <w:p w14:paraId="7B80C115" w14:textId="77777777" w:rsidR="00D11FD1" w:rsidRPr="00007BDD" w:rsidRDefault="00D11FD1" w:rsidP="008D2010">
            <w:pPr>
              <w:pStyle w:val="Tableparagraph"/>
              <w:rPr>
                <w:szCs w:val="20"/>
              </w:rPr>
            </w:pPr>
          </w:p>
        </w:tc>
        <w:tc>
          <w:tcPr>
            <w:tcW w:w="1255" w:type="dxa"/>
            <w:shd w:val="clear" w:color="auto" w:fill="BFBFBF" w:themeFill="background1" w:themeFillShade="BF"/>
          </w:tcPr>
          <w:p w14:paraId="157C2C81" w14:textId="77777777" w:rsidR="00D11FD1" w:rsidRPr="00007BDD" w:rsidRDefault="00D11FD1" w:rsidP="008D2010">
            <w:pPr>
              <w:pStyle w:val="Tableparagraph"/>
              <w:rPr>
                <w:szCs w:val="20"/>
              </w:rPr>
            </w:pPr>
          </w:p>
        </w:tc>
      </w:tr>
    </w:tbl>
    <w:p w14:paraId="7C2261AA" w14:textId="324CAA47" w:rsidR="00CB1500" w:rsidRPr="008D2010" w:rsidRDefault="00716C01" w:rsidP="006829F1">
      <w:pPr>
        <w:pStyle w:val="Tableheading"/>
        <w:keepNext/>
        <w:rPr>
          <w:rStyle w:val="Strong"/>
          <w:rFonts w:ascii="Franklin Gothic Demi" w:hAnsi="Franklin Gothic Demi"/>
          <w:color w:val="003479"/>
        </w:rPr>
      </w:pPr>
      <w:bookmarkStart w:id="12" w:name="_Toc510692483"/>
      <w:r w:rsidRPr="008D2010">
        <w:rPr>
          <w:rStyle w:val="Strong"/>
          <w:rFonts w:ascii="Franklin Gothic Demi" w:hAnsi="Franklin Gothic Demi"/>
          <w:color w:val="003479"/>
        </w:rPr>
        <w:t xml:space="preserve">Table </w:t>
      </w:r>
      <w:r w:rsidR="004B5A05">
        <w:rPr>
          <w:rStyle w:val="Strong"/>
          <w:rFonts w:ascii="Franklin Gothic Demi" w:hAnsi="Franklin Gothic Demi"/>
          <w:color w:val="003479"/>
        </w:rPr>
        <w:t>2</w:t>
      </w:r>
      <w:r w:rsidR="007F3EBC" w:rsidRPr="008D2010">
        <w:rPr>
          <w:rStyle w:val="Strong"/>
          <w:rFonts w:ascii="Franklin Gothic Demi" w:hAnsi="Franklin Gothic Demi"/>
          <w:color w:val="003479"/>
        </w:rPr>
        <w:t>.</w:t>
      </w:r>
      <w:r w:rsidRPr="008D2010">
        <w:rPr>
          <w:rStyle w:val="Strong"/>
          <w:rFonts w:ascii="Franklin Gothic Demi" w:hAnsi="Franklin Gothic Demi"/>
          <w:color w:val="003479"/>
        </w:rPr>
        <w:t>4</w:t>
      </w:r>
      <w:r w:rsidR="005D7946" w:rsidRPr="008D2010">
        <w:rPr>
          <w:rStyle w:val="Strong"/>
          <w:rFonts w:ascii="Franklin Gothic Demi" w:hAnsi="Franklin Gothic Demi"/>
          <w:color w:val="003479"/>
        </w:rPr>
        <w:t>: Dividend</w:t>
      </w:r>
      <w:r w:rsidR="00A37973" w:rsidRPr="008D2010">
        <w:rPr>
          <w:rStyle w:val="Strong"/>
          <w:rFonts w:ascii="Franklin Gothic Demi" w:hAnsi="Franklin Gothic Demi"/>
          <w:color w:val="003479"/>
        </w:rPr>
        <w:t>s</w:t>
      </w:r>
      <w:bookmarkEnd w:id="12"/>
    </w:p>
    <w:tbl>
      <w:tblPr>
        <w:tblStyle w:val="Ofwatnew"/>
        <w:tblW w:w="9067" w:type="dxa"/>
        <w:tblLayout w:type="fixed"/>
        <w:tblLook w:val="04A0" w:firstRow="1" w:lastRow="0" w:firstColumn="1" w:lastColumn="0" w:noHBand="0" w:noVBand="1"/>
      </w:tblPr>
      <w:tblGrid>
        <w:gridCol w:w="2972"/>
        <w:gridCol w:w="1219"/>
        <w:gridCol w:w="1219"/>
        <w:gridCol w:w="1219"/>
        <w:gridCol w:w="1219"/>
        <w:gridCol w:w="1219"/>
      </w:tblGrid>
      <w:tr w:rsidR="003D1151" w:rsidRPr="004E411A" w14:paraId="041E1589" w14:textId="77777777" w:rsidTr="0054215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2" w:type="dxa"/>
          </w:tcPr>
          <w:p w14:paraId="6D42E047" w14:textId="77777777" w:rsidR="00146475" w:rsidRDefault="003D1151" w:rsidP="006829F1">
            <w:pPr>
              <w:pStyle w:val="Tabledescriptorcell1"/>
              <w:keepNext/>
              <w:rPr>
                <w:rStyle w:val="Strong"/>
                <w:rFonts w:ascii="Franklin Gothic Demi" w:hAnsi="Franklin Gothic Demi"/>
                <w:color w:val="0078D2"/>
              </w:rPr>
            </w:pPr>
            <w:r w:rsidRPr="008D2010">
              <w:rPr>
                <w:rStyle w:val="Strong"/>
                <w:rFonts w:ascii="Franklin Gothic Demi" w:hAnsi="Franklin Gothic Demi"/>
                <w:color w:val="0078D2"/>
              </w:rPr>
              <w:t>Metric</w:t>
            </w:r>
            <w:r w:rsidR="00F00542">
              <w:rPr>
                <w:rStyle w:val="Strong"/>
                <w:rFonts w:ascii="Franklin Gothic Demi" w:hAnsi="Franklin Gothic Demi"/>
                <w:color w:val="0078D2"/>
              </w:rPr>
              <w:t xml:space="preserve"> </w:t>
            </w:r>
            <w:r w:rsidR="00F00542" w:rsidRPr="00F00542">
              <w:rPr>
                <w:rStyle w:val="Strong"/>
                <w:rFonts w:ascii="Franklin Gothic Demi" w:hAnsi="Franklin Gothic Demi"/>
                <w:color w:val="0078D2"/>
              </w:rPr>
              <w:t xml:space="preserve">£m </w:t>
            </w:r>
          </w:p>
          <w:p w14:paraId="4E09BCF4" w14:textId="20E5AF6F" w:rsidR="003D1151" w:rsidRPr="00146475" w:rsidRDefault="00E854A8" w:rsidP="006829F1">
            <w:pPr>
              <w:pStyle w:val="Tabledescriptorcell1"/>
              <w:keepNext/>
              <w:rPr>
                <w:rStyle w:val="Strong"/>
                <w:rFonts w:ascii="Arial" w:hAnsi="Arial" w:cs="Arial"/>
                <w:color w:val="0078D2"/>
                <w:sz w:val="18"/>
                <w:szCs w:val="18"/>
              </w:rPr>
            </w:pPr>
            <w:r>
              <w:rPr>
                <w:rStyle w:val="Strong"/>
                <w:rFonts w:ascii="Arial" w:hAnsi="Arial" w:cs="Arial"/>
                <w:color w:val="0078D2"/>
                <w:sz w:val="18"/>
                <w:szCs w:val="18"/>
              </w:rPr>
              <w:t xml:space="preserve">Outturn </w:t>
            </w:r>
            <w:r w:rsidR="00F00542" w:rsidRPr="00146475">
              <w:rPr>
                <w:rStyle w:val="Strong"/>
                <w:rFonts w:ascii="Arial" w:hAnsi="Arial" w:cs="Arial"/>
                <w:color w:val="0078D2"/>
                <w:sz w:val="18"/>
                <w:szCs w:val="18"/>
              </w:rPr>
              <w:t>(nominal prices)</w:t>
            </w:r>
          </w:p>
        </w:tc>
        <w:tc>
          <w:tcPr>
            <w:tcW w:w="1219" w:type="dxa"/>
          </w:tcPr>
          <w:p w14:paraId="66A2C2C4"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2015-16</w:t>
            </w:r>
          </w:p>
        </w:tc>
        <w:tc>
          <w:tcPr>
            <w:tcW w:w="1219" w:type="dxa"/>
          </w:tcPr>
          <w:p w14:paraId="0D16C926"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2016-17</w:t>
            </w:r>
          </w:p>
        </w:tc>
        <w:tc>
          <w:tcPr>
            <w:tcW w:w="1219" w:type="dxa"/>
          </w:tcPr>
          <w:p w14:paraId="3E2F7884" w14:textId="77777777" w:rsidR="003D1151" w:rsidRPr="008D2010"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rPr>
            </w:pPr>
            <w:r w:rsidRPr="008D2010">
              <w:rPr>
                <w:rStyle w:val="Strong"/>
                <w:rFonts w:ascii="Franklin Gothic Demi" w:hAnsi="Franklin Gothic Demi"/>
                <w:color w:val="0078D2"/>
              </w:rPr>
              <w:t>2017-18</w:t>
            </w:r>
          </w:p>
        </w:tc>
        <w:tc>
          <w:tcPr>
            <w:tcW w:w="2438" w:type="dxa"/>
            <w:gridSpan w:val="2"/>
            <w:vMerge w:val="restart"/>
            <w:shd w:val="clear" w:color="auto" w:fill="E7E2DE" w:themeFill="accent2" w:themeFillTint="33"/>
          </w:tcPr>
          <w:p w14:paraId="3680BEA2" w14:textId="3442DC8C" w:rsidR="003D1151" w:rsidRPr="00F83EBE" w:rsidRDefault="003D1151" w:rsidP="006829F1">
            <w:pPr>
              <w:pStyle w:val="Tabledescriptorcell1"/>
              <w:keepNext/>
              <w:cnfStyle w:val="100000000000" w:firstRow="1" w:lastRow="0" w:firstColumn="0" w:lastColumn="0" w:oddVBand="0" w:evenVBand="0" w:oddHBand="0" w:evenHBand="0" w:firstRowFirstColumn="0" w:firstRowLastColumn="0" w:lastRowFirstColumn="0" w:lastRowLastColumn="0"/>
              <w:rPr>
                <w:rStyle w:val="Strong"/>
                <w:rFonts w:ascii="Franklin Gothic Demi" w:hAnsi="Franklin Gothic Demi"/>
                <w:color w:val="0078D2"/>
                <w:highlight w:val="lightGray"/>
              </w:rPr>
            </w:pPr>
          </w:p>
        </w:tc>
      </w:tr>
      <w:tr w:rsidR="003D1151" w:rsidRPr="004E411A" w14:paraId="494545F8" w14:textId="77777777" w:rsidTr="00542151">
        <w:trPr>
          <w:cnfStyle w:val="000000100000" w:firstRow="0" w:lastRow="0" w:firstColumn="0" w:lastColumn="0" w:oddVBand="0" w:evenVBand="0" w:oddHBand="1" w:evenHBand="0" w:firstRowFirstColumn="0" w:firstRowLastColumn="0" w:lastRowFirstColumn="0" w:lastRowLastColumn="0"/>
        </w:trPr>
        <w:tc>
          <w:tcPr>
            <w:tcW w:w="2972" w:type="dxa"/>
          </w:tcPr>
          <w:p w14:paraId="112CE397" w14:textId="48A2305E" w:rsidR="003D1151" w:rsidRPr="00007BDD" w:rsidRDefault="003D1151" w:rsidP="004B748D">
            <w:pPr>
              <w:pStyle w:val="Tabledescriptorcell1"/>
              <w:rPr>
                <w:rStyle w:val="Strong"/>
                <w:rFonts w:asciiTheme="minorHAnsi" w:hAnsiTheme="minorHAnsi" w:cstheme="minorHAnsi"/>
                <w:color w:val="auto"/>
                <w:sz w:val="20"/>
              </w:rPr>
            </w:pPr>
            <w:r w:rsidRPr="00007BDD">
              <w:rPr>
                <w:rStyle w:val="Strong"/>
                <w:rFonts w:asciiTheme="minorHAnsi" w:hAnsiTheme="minorHAnsi" w:cstheme="minorHAnsi"/>
                <w:color w:val="auto"/>
                <w:sz w:val="20"/>
              </w:rPr>
              <w:t>Dividends (based on PR14 actual company structure)</w:t>
            </w:r>
          </w:p>
        </w:tc>
        <w:tc>
          <w:tcPr>
            <w:tcW w:w="1219" w:type="dxa"/>
          </w:tcPr>
          <w:p w14:paraId="0223E1E4" w14:textId="73068514" w:rsidR="003D1151" w:rsidRPr="00007BDD" w:rsidRDefault="006C388E" w:rsidP="006C388E">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(3.000)</w:t>
            </w:r>
          </w:p>
        </w:tc>
        <w:tc>
          <w:tcPr>
            <w:tcW w:w="1219" w:type="dxa"/>
          </w:tcPr>
          <w:p w14:paraId="359D86A0" w14:textId="1A234E2C" w:rsidR="003D1151" w:rsidRPr="00007BDD" w:rsidRDefault="006C388E" w:rsidP="006C388E">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(2.800)</w:t>
            </w:r>
          </w:p>
        </w:tc>
        <w:tc>
          <w:tcPr>
            <w:tcW w:w="1219" w:type="dxa"/>
          </w:tcPr>
          <w:p w14:paraId="774274B3" w14:textId="5C2C4022" w:rsidR="003D1151" w:rsidRPr="00007BDD" w:rsidRDefault="006C388E" w:rsidP="006C388E">
            <w:pPr>
              <w:pStyle w:val="Tabledescriptorcell1"/>
              <w:jc w:val="center"/>
              <w:rPr>
                <w:rStyle w:val="Strong"/>
                <w:rFonts w:asciiTheme="minorHAnsi" w:hAnsiTheme="minorHAnsi" w:cstheme="minorHAnsi"/>
                <w:color w:val="auto"/>
                <w:sz w:val="20"/>
              </w:rPr>
            </w:pPr>
            <w:r>
              <w:rPr>
                <w:rStyle w:val="Strong"/>
                <w:rFonts w:asciiTheme="minorHAnsi" w:hAnsiTheme="minorHAnsi" w:cstheme="minorHAnsi"/>
                <w:color w:val="auto"/>
                <w:sz w:val="20"/>
              </w:rPr>
              <w:t>(3.000)</w:t>
            </w:r>
          </w:p>
        </w:tc>
        <w:tc>
          <w:tcPr>
            <w:tcW w:w="2438" w:type="dxa"/>
            <w:gridSpan w:val="2"/>
            <w:vMerge/>
            <w:shd w:val="clear" w:color="auto" w:fill="E7E2DE" w:themeFill="accent2" w:themeFillTint="33"/>
          </w:tcPr>
          <w:p w14:paraId="220C3476" w14:textId="77777777" w:rsidR="003D1151" w:rsidRPr="00F83EBE" w:rsidRDefault="003D1151" w:rsidP="006C388E">
            <w:pPr>
              <w:pStyle w:val="Tabledescriptorcell1"/>
              <w:jc w:val="center"/>
              <w:rPr>
                <w:rStyle w:val="Strong"/>
                <w:rFonts w:asciiTheme="minorHAnsi" w:hAnsiTheme="minorHAnsi" w:cstheme="minorHAnsi"/>
                <w:color w:val="FF0000"/>
                <w:szCs w:val="24"/>
                <w:highlight w:val="lightGray"/>
              </w:rPr>
            </w:pPr>
          </w:p>
        </w:tc>
      </w:tr>
      <w:tr w:rsidR="004E411A" w:rsidRPr="004E411A" w14:paraId="7B6B0613" w14:textId="77777777" w:rsidTr="008D2010">
        <w:trPr>
          <w:cnfStyle w:val="000000010000" w:firstRow="0" w:lastRow="0" w:firstColumn="0" w:lastColumn="0" w:oddVBand="0" w:evenVBand="0" w:oddHBand="0" w:evenHBand="1" w:firstRowFirstColumn="0" w:firstRowLastColumn="0" w:lastRowFirstColumn="0" w:lastRowLastColumn="0"/>
        </w:trPr>
        <w:tc>
          <w:tcPr>
            <w:tcW w:w="2972" w:type="dxa"/>
            <w:shd w:val="clear" w:color="auto" w:fill="E0DCD8"/>
          </w:tcPr>
          <w:p w14:paraId="019A104B" w14:textId="5D4EE10A" w:rsidR="00CB1500" w:rsidRPr="008D2010" w:rsidRDefault="00E854A8" w:rsidP="008D2010">
            <w:pPr>
              <w:pStyle w:val="Tabledescriptorcell1"/>
              <w:rPr>
                <w:rStyle w:val="Strong"/>
                <w:rFonts w:ascii="Franklin Gothic Demi" w:hAnsi="Franklin Gothic Demi"/>
                <w:color w:val="0078D2"/>
                <w:szCs w:val="24"/>
              </w:rPr>
            </w:pPr>
            <w:r>
              <w:rPr>
                <w:rStyle w:val="Strong"/>
                <w:rFonts w:ascii="Arial" w:hAnsi="Arial" w:cs="Arial"/>
                <w:color w:val="0078D2"/>
                <w:sz w:val="18"/>
                <w:szCs w:val="18"/>
              </w:rPr>
              <w:t xml:space="preserve">Outturn </w:t>
            </w:r>
            <w:r w:rsidR="00146475" w:rsidRPr="00146475">
              <w:rPr>
                <w:rStyle w:val="Strong"/>
                <w:rFonts w:ascii="Arial" w:hAnsi="Arial" w:cs="Arial"/>
                <w:color w:val="0078D2"/>
                <w:sz w:val="18"/>
                <w:szCs w:val="18"/>
              </w:rPr>
              <w:t>(nominal prices)</w:t>
            </w:r>
          </w:p>
        </w:tc>
        <w:tc>
          <w:tcPr>
            <w:tcW w:w="1219" w:type="dxa"/>
            <w:shd w:val="clear" w:color="auto" w:fill="E0DCD8"/>
          </w:tcPr>
          <w:p w14:paraId="0E6FAE85" w14:textId="77777777" w:rsidR="00CB1500" w:rsidRPr="008D2010" w:rsidRDefault="00CB1500" w:rsidP="006C388E">
            <w:pPr>
              <w:pStyle w:val="Tabledescriptorcell1"/>
              <w:jc w:val="center"/>
              <w:rPr>
                <w:rStyle w:val="Strong"/>
                <w:rFonts w:ascii="Franklin Gothic Demi" w:hAnsi="Franklin Gothic Demi"/>
                <w:color w:val="0078D2"/>
                <w:szCs w:val="24"/>
              </w:rPr>
            </w:pPr>
            <w:r w:rsidRPr="008D2010">
              <w:rPr>
                <w:rStyle w:val="Strong"/>
                <w:rFonts w:ascii="Franklin Gothic Demi" w:hAnsi="Franklin Gothic Demi"/>
                <w:color w:val="0078D2"/>
                <w:szCs w:val="24"/>
              </w:rPr>
              <w:t>2020-21</w:t>
            </w:r>
          </w:p>
        </w:tc>
        <w:tc>
          <w:tcPr>
            <w:tcW w:w="1219" w:type="dxa"/>
            <w:shd w:val="clear" w:color="auto" w:fill="E0DCD8"/>
          </w:tcPr>
          <w:p w14:paraId="6D86CA4E" w14:textId="77777777" w:rsidR="00CB1500" w:rsidRPr="008D2010" w:rsidRDefault="00CB1500" w:rsidP="006C388E">
            <w:pPr>
              <w:pStyle w:val="Tabledescriptorcell1"/>
              <w:jc w:val="center"/>
              <w:rPr>
                <w:rStyle w:val="Strong"/>
                <w:rFonts w:ascii="Franklin Gothic Demi" w:hAnsi="Franklin Gothic Demi"/>
                <w:color w:val="0078D2"/>
                <w:szCs w:val="24"/>
              </w:rPr>
            </w:pPr>
            <w:r w:rsidRPr="008D2010">
              <w:rPr>
                <w:rStyle w:val="Strong"/>
                <w:rFonts w:ascii="Franklin Gothic Demi" w:hAnsi="Franklin Gothic Demi"/>
                <w:color w:val="0078D2"/>
                <w:szCs w:val="24"/>
              </w:rPr>
              <w:t>2021-22</w:t>
            </w:r>
          </w:p>
        </w:tc>
        <w:tc>
          <w:tcPr>
            <w:tcW w:w="1219" w:type="dxa"/>
            <w:shd w:val="clear" w:color="auto" w:fill="E0DCD8"/>
          </w:tcPr>
          <w:p w14:paraId="670BFB32" w14:textId="77777777" w:rsidR="00CB1500" w:rsidRPr="008D2010" w:rsidRDefault="00CB1500" w:rsidP="006C388E">
            <w:pPr>
              <w:pStyle w:val="Tabledescriptorcell1"/>
              <w:jc w:val="center"/>
              <w:rPr>
                <w:rStyle w:val="Strong"/>
                <w:rFonts w:ascii="Franklin Gothic Demi" w:hAnsi="Franklin Gothic Demi"/>
                <w:color w:val="0078D2"/>
                <w:szCs w:val="24"/>
              </w:rPr>
            </w:pPr>
            <w:r w:rsidRPr="008D2010">
              <w:rPr>
                <w:rStyle w:val="Strong"/>
                <w:rFonts w:ascii="Franklin Gothic Demi" w:hAnsi="Franklin Gothic Demi"/>
                <w:color w:val="0078D2"/>
                <w:szCs w:val="24"/>
              </w:rPr>
              <w:t>2022-23</w:t>
            </w:r>
          </w:p>
        </w:tc>
        <w:tc>
          <w:tcPr>
            <w:tcW w:w="1219" w:type="dxa"/>
            <w:shd w:val="clear" w:color="auto" w:fill="E0DCD8"/>
          </w:tcPr>
          <w:p w14:paraId="51B0A220" w14:textId="77777777" w:rsidR="00CB1500" w:rsidRPr="008D2010" w:rsidRDefault="00CB1500" w:rsidP="006C388E">
            <w:pPr>
              <w:pStyle w:val="Tabledescriptorcell1"/>
              <w:jc w:val="center"/>
              <w:rPr>
                <w:rStyle w:val="Strong"/>
                <w:rFonts w:ascii="Franklin Gothic Demi" w:hAnsi="Franklin Gothic Demi"/>
                <w:color w:val="0078D2"/>
                <w:szCs w:val="24"/>
              </w:rPr>
            </w:pPr>
            <w:r w:rsidRPr="008D2010">
              <w:rPr>
                <w:rStyle w:val="Strong"/>
                <w:rFonts w:ascii="Franklin Gothic Demi" w:hAnsi="Franklin Gothic Demi"/>
                <w:color w:val="0078D2"/>
                <w:szCs w:val="24"/>
              </w:rPr>
              <w:t>2023-24</w:t>
            </w:r>
          </w:p>
        </w:tc>
        <w:tc>
          <w:tcPr>
            <w:tcW w:w="1219" w:type="dxa"/>
            <w:shd w:val="clear" w:color="auto" w:fill="E0DCD8"/>
          </w:tcPr>
          <w:p w14:paraId="00489439" w14:textId="77777777" w:rsidR="00CB1500" w:rsidRPr="008D2010" w:rsidRDefault="00CB1500" w:rsidP="006C388E">
            <w:pPr>
              <w:pStyle w:val="Tabledescriptorcell1"/>
              <w:jc w:val="center"/>
              <w:rPr>
                <w:rStyle w:val="Strong"/>
                <w:rFonts w:ascii="Franklin Gothic Demi" w:hAnsi="Franklin Gothic Demi"/>
                <w:color w:val="0078D2"/>
                <w:szCs w:val="24"/>
              </w:rPr>
            </w:pPr>
            <w:r w:rsidRPr="008D2010">
              <w:rPr>
                <w:rStyle w:val="Strong"/>
                <w:rFonts w:ascii="Franklin Gothic Demi" w:hAnsi="Franklin Gothic Demi"/>
                <w:color w:val="0078D2"/>
                <w:szCs w:val="24"/>
              </w:rPr>
              <w:t>2024-25</w:t>
            </w:r>
          </w:p>
        </w:tc>
      </w:tr>
      <w:tr w:rsidR="006C388E" w:rsidRPr="004E411A" w14:paraId="29C52A4D" w14:textId="77777777" w:rsidTr="00E64F20">
        <w:trPr>
          <w:cnfStyle w:val="000000100000" w:firstRow="0" w:lastRow="0" w:firstColumn="0" w:lastColumn="0" w:oddVBand="0" w:evenVBand="0" w:oddHBand="1" w:evenHBand="0" w:firstRowFirstColumn="0" w:firstRowLastColumn="0" w:lastRowFirstColumn="0" w:lastRowLastColumn="0"/>
        </w:trPr>
        <w:tc>
          <w:tcPr>
            <w:tcW w:w="2972" w:type="dxa"/>
          </w:tcPr>
          <w:p w14:paraId="53D51006" w14:textId="06C5E2F5" w:rsidR="006C388E" w:rsidRPr="00007BDD" w:rsidRDefault="006C388E" w:rsidP="00340AAA">
            <w:pPr>
              <w:pStyle w:val="Tabledescriptorcell1"/>
              <w:rPr>
                <w:rStyle w:val="Strong"/>
                <w:rFonts w:asciiTheme="minorHAnsi" w:hAnsiTheme="minorHAnsi" w:cstheme="minorHAnsi"/>
                <w:color w:val="auto"/>
                <w:sz w:val="20"/>
              </w:rPr>
            </w:pPr>
            <w:r w:rsidRPr="00007BDD">
              <w:rPr>
                <w:rStyle w:val="Strong"/>
                <w:rFonts w:asciiTheme="minorHAnsi" w:hAnsiTheme="minorHAnsi" w:cstheme="minorHAnsi"/>
                <w:color w:val="auto"/>
                <w:sz w:val="20"/>
              </w:rPr>
              <w:t>Dividends (based on PR19 actual company structure)</w:t>
            </w:r>
          </w:p>
        </w:tc>
        <w:tc>
          <w:tcPr>
            <w:tcW w:w="1219" w:type="dxa"/>
            <w:vAlign w:val="center"/>
          </w:tcPr>
          <w:p w14:paraId="2FD4877A" w14:textId="57D4B1D4" w:rsidR="006C388E" w:rsidRPr="00007BDD" w:rsidRDefault="006C388E" w:rsidP="006C388E">
            <w:pPr>
              <w:pStyle w:val="Tabledescriptorcell1"/>
              <w:jc w:val="center"/>
              <w:rPr>
                <w:rStyle w:val="Strong"/>
                <w:rFonts w:asciiTheme="minorHAnsi" w:hAnsiTheme="minorHAnsi" w:cstheme="minorHAnsi"/>
                <w:color w:val="auto"/>
                <w:sz w:val="20"/>
              </w:rPr>
            </w:pPr>
            <w:r>
              <w:rPr>
                <w:rFonts w:ascii="Arial" w:hAnsi="Arial" w:cs="Arial"/>
                <w:color w:val="000000"/>
                <w:sz w:val="18"/>
                <w:szCs w:val="18"/>
              </w:rPr>
              <w:t>(4.033)</w:t>
            </w:r>
          </w:p>
        </w:tc>
        <w:tc>
          <w:tcPr>
            <w:tcW w:w="1219" w:type="dxa"/>
            <w:vAlign w:val="center"/>
          </w:tcPr>
          <w:p w14:paraId="075E303C" w14:textId="6C6A6741" w:rsidR="006C388E" w:rsidRPr="00007BDD" w:rsidRDefault="006C388E" w:rsidP="006C388E">
            <w:pPr>
              <w:pStyle w:val="Tabledescriptorcell1"/>
              <w:jc w:val="center"/>
              <w:rPr>
                <w:rStyle w:val="Strong"/>
                <w:rFonts w:asciiTheme="minorHAnsi" w:hAnsiTheme="minorHAnsi" w:cstheme="minorHAnsi"/>
                <w:color w:val="auto"/>
                <w:sz w:val="20"/>
              </w:rPr>
            </w:pPr>
            <w:r>
              <w:rPr>
                <w:rFonts w:ascii="Arial" w:hAnsi="Arial" w:cs="Arial"/>
                <w:color w:val="000000"/>
                <w:sz w:val="18"/>
                <w:szCs w:val="18"/>
              </w:rPr>
              <w:t>(4.108)</w:t>
            </w:r>
          </w:p>
        </w:tc>
        <w:tc>
          <w:tcPr>
            <w:tcW w:w="1219" w:type="dxa"/>
            <w:vAlign w:val="center"/>
          </w:tcPr>
          <w:p w14:paraId="436D2A44" w14:textId="09683EE7" w:rsidR="006C388E" w:rsidRPr="00007BDD" w:rsidRDefault="006C388E" w:rsidP="006C388E">
            <w:pPr>
              <w:pStyle w:val="Tabledescriptorcell1"/>
              <w:jc w:val="center"/>
              <w:rPr>
                <w:rStyle w:val="Strong"/>
                <w:rFonts w:asciiTheme="minorHAnsi" w:hAnsiTheme="minorHAnsi" w:cstheme="minorHAnsi"/>
                <w:color w:val="auto"/>
                <w:sz w:val="20"/>
              </w:rPr>
            </w:pPr>
            <w:r>
              <w:rPr>
                <w:rFonts w:ascii="Arial" w:hAnsi="Arial" w:cs="Arial"/>
                <w:color w:val="000000"/>
                <w:sz w:val="18"/>
                <w:szCs w:val="18"/>
              </w:rPr>
              <w:t>(4.162)</w:t>
            </w:r>
          </w:p>
        </w:tc>
        <w:tc>
          <w:tcPr>
            <w:tcW w:w="1219" w:type="dxa"/>
            <w:vAlign w:val="center"/>
          </w:tcPr>
          <w:p w14:paraId="4DFB3C95" w14:textId="2F414C75" w:rsidR="006C388E" w:rsidRPr="00007BDD" w:rsidRDefault="006C388E" w:rsidP="006C388E">
            <w:pPr>
              <w:pStyle w:val="Tabledescriptorcell1"/>
              <w:jc w:val="center"/>
              <w:rPr>
                <w:rStyle w:val="Strong"/>
                <w:rFonts w:asciiTheme="minorHAnsi" w:hAnsiTheme="minorHAnsi" w:cstheme="minorHAnsi"/>
                <w:color w:val="auto"/>
                <w:sz w:val="20"/>
              </w:rPr>
            </w:pPr>
            <w:r>
              <w:rPr>
                <w:rFonts w:ascii="Arial" w:hAnsi="Arial" w:cs="Arial"/>
                <w:color w:val="000000"/>
                <w:sz w:val="18"/>
                <w:szCs w:val="18"/>
              </w:rPr>
              <w:t>(4.194)</w:t>
            </w:r>
          </w:p>
        </w:tc>
        <w:tc>
          <w:tcPr>
            <w:tcW w:w="1219" w:type="dxa"/>
            <w:vAlign w:val="center"/>
          </w:tcPr>
          <w:p w14:paraId="3A4FFDB7" w14:textId="30B96C67" w:rsidR="006C388E" w:rsidRPr="00007BDD" w:rsidRDefault="006C388E" w:rsidP="006C388E">
            <w:pPr>
              <w:pStyle w:val="Tabledescriptorcell1"/>
              <w:jc w:val="center"/>
              <w:rPr>
                <w:rStyle w:val="Strong"/>
                <w:rFonts w:asciiTheme="minorHAnsi" w:hAnsiTheme="minorHAnsi" w:cstheme="minorHAnsi"/>
                <w:color w:val="auto"/>
                <w:sz w:val="20"/>
              </w:rPr>
            </w:pPr>
            <w:r>
              <w:rPr>
                <w:rFonts w:ascii="Arial" w:hAnsi="Arial" w:cs="Arial"/>
                <w:color w:val="000000"/>
                <w:sz w:val="18"/>
                <w:szCs w:val="18"/>
              </w:rPr>
              <w:t>(4.221)</w:t>
            </w:r>
          </w:p>
        </w:tc>
      </w:tr>
    </w:tbl>
    <w:p w14:paraId="79D377F8" w14:textId="0E873E52" w:rsidR="002F055C" w:rsidRDefault="002F055C" w:rsidP="002F055C">
      <w:pPr>
        <w:pStyle w:val="Tableheading"/>
      </w:pPr>
      <w:bookmarkStart w:id="13" w:name="Annex3CompanyPenPic"/>
      <w:r w:rsidRPr="002F055C">
        <w:t>Dividend Policy</w:t>
      </w:r>
    </w:p>
    <w:p w14:paraId="3BA07AD7" w14:textId="4A1C23F7" w:rsidR="00925672" w:rsidRPr="00925672" w:rsidRDefault="00D6347A" w:rsidP="00925672">
      <w:pPr>
        <w:jc w:val="both"/>
        <w:rPr>
          <w:rFonts w:cs="Arial"/>
          <w:szCs w:val="28"/>
        </w:rPr>
      </w:pPr>
      <w:r w:rsidRPr="00D6347A">
        <w:rPr>
          <w:rFonts w:cs="Arial"/>
          <w:szCs w:val="28"/>
        </w:rPr>
        <w:t xml:space="preserve">Our Board has always taken a responsible and proportionate approach to decisions on dividend payments. We will maintain the key features of our current dividend policy as we believe it is already in-line with Ofwat’s expectations. We will do more to make the process we follow when agreeing and making dividend payments more transparent and accessible. </w:t>
      </w:r>
      <w:r w:rsidR="00925672">
        <w:rPr>
          <w:rFonts w:cs="Arial"/>
          <w:szCs w:val="28"/>
        </w:rPr>
        <w:t>Our proposed PR19 dividend policy s</w:t>
      </w:r>
      <w:r w:rsidR="00925672" w:rsidRPr="00925672">
        <w:rPr>
          <w:rFonts w:cs="Arial"/>
          <w:szCs w:val="28"/>
        </w:rPr>
        <w:t>tatement:</w:t>
      </w:r>
    </w:p>
    <w:p w14:paraId="16955184" w14:textId="77777777" w:rsidR="00925672" w:rsidRPr="00925672" w:rsidRDefault="00925672" w:rsidP="00925672">
      <w:pPr>
        <w:jc w:val="both"/>
        <w:rPr>
          <w:rFonts w:cs="Arial"/>
          <w:szCs w:val="28"/>
        </w:rPr>
      </w:pPr>
      <w:r w:rsidRPr="00925672">
        <w:rPr>
          <w:rFonts w:cs="Arial"/>
          <w:szCs w:val="28"/>
        </w:rPr>
        <w:t xml:space="preserve">“The Board considers that the base level of ordinary dividend for the appointed business should reflect the return on regulatory equity (defined as Regulatory Capital Value less net debt) allowed in the regulator’s most recent price review, subject to the Company having adequate resources available to fulfil its overall service commitments and its other financial obligations. This includes compliance with the covenants associated with its index-linked bond (which are designed to protect the interests of the Company’s creditors). </w:t>
      </w:r>
    </w:p>
    <w:p w14:paraId="7964EC66" w14:textId="77777777" w:rsidR="00925672" w:rsidRPr="00925672" w:rsidRDefault="00925672" w:rsidP="00925672">
      <w:pPr>
        <w:jc w:val="both"/>
        <w:rPr>
          <w:rFonts w:cs="Arial"/>
          <w:szCs w:val="28"/>
        </w:rPr>
      </w:pPr>
      <w:r w:rsidRPr="00925672">
        <w:rPr>
          <w:rFonts w:cs="Arial"/>
          <w:szCs w:val="28"/>
        </w:rPr>
        <w:t>The Board will consider variations from this base level of ordinary dividend reflecting:</w:t>
      </w:r>
    </w:p>
    <w:p w14:paraId="0A4E2D86" w14:textId="00D21292" w:rsidR="00925672" w:rsidRPr="00925672" w:rsidRDefault="00925672" w:rsidP="007A4C0A">
      <w:pPr>
        <w:pStyle w:val="ListParagraph"/>
        <w:numPr>
          <w:ilvl w:val="0"/>
          <w:numId w:val="12"/>
        </w:numPr>
        <w:jc w:val="both"/>
        <w:rPr>
          <w:rFonts w:cs="Arial"/>
          <w:szCs w:val="28"/>
        </w:rPr>
      </w:pPr>
      <w:r w:rsidRPr="00925672">
        <w:rPr>
          <w:rFonts w:cs="Arial"/>
          <w:szCs w:val="28"/>
        </w:rPr>
        <w:lastRenderedPageBreak/>
        <w:t>The overall level of service delivered to customers, compliance with statutory</w:t>
      </w:r>
      <w:r>
        <w:rPr>
          <w:rFonts w:cs="Arial"/>
          <w:szCs w:val="28"/>
        </w:rPr>
        <w:t xml:space="preserve"> </w:t>
      </w:r>
      <w:r w:rsidRPr="00925672">
        <w:rPr>
          <w:rFonts w:cs="Arial"/>
          <w:szCs w:val="28"/>
        </w:rPr>
        <w:t>obligations and progress with the delivery of regulatory and other obligations</w:t>
      </w:r>
    </w:p>
    <w:p w14:paraId="7435305D" w14:textId="06C37673" w:rsidR="00925672" w:rsidRPr="00925672" w:rsidRDefault="00925672" w:rsidP="007A4C0A">
      <w:pPr>
        <w:pStyle w:val="ListParagraph"/>
        <w:numPr>
          <w:ilvl w:val="0"/>
          <w:numId w:val="12"/>
        </w:numPr>
        <w:jc w:val="both"/>
        <w:rPr>
          <w:rFonts w:cs="Arial"/>
          <w:szCs w:val="28"/>
        </w:rPr>
      </w:pPr>
      <w:r w:rsidRPr="00925672">
        <w:rPr>
          <w:rFonts w:cs="Arial"/>
          <w:szCs w:val="28"/>
        </w:rPr>
        <w:t>Financial performance against regulatory assumptions and internal targets</w:t>
      </w:r>
      <w:r>
        <w:rPr>
          <w:rFonts w:cs="Arial"/>
          <w:szCs w:val="28"/>
        </w:rPr>
        <w:t>.</w:t>
      </w:r>
    </w:p>
    <w:p w14:paraId="6EAFC8A7" w14:textId="0B6286AE" w:rsidR="006C388E" w:rsidRPr="00925672" w:rsidRDefault="00925672" w:rsidP="00925672">
      <w:pPr>
        <w:jc w:val="both"/>
        <w:rPr>
          <w:rFonts w:cs="Arial"/>
          <w:szCs w:val="28"/>
        </w:rPr>
      </w:pPr>
      <w:r w:rsidRPr="00925672">
        <w:rPr>
          <w:rFonts w:cs="Arial"/>
          <w:szCs w:val="28"/>
        </w:rPr>
        <w:t>The Board will explain the way in which these factors have been taken into account in arriving at the dividend declared in the Company’s annual report</w:t>
      </w:r>
      <w:r>
        <w:rPr>
          <w:rFonts w:cs="Arial"/>
          <w:szCs w:val="28"/>
        </w:rPr>
        <w:t>,</w:t>
      </w:r>
      <w:r w:rsidRPr="00925672">
        <w:rPr>
          <w:rFonts w:cs="Arial"/>
          <w:szCs w:val="28"/>
        </w:rPr>
        <w:t xml:space="preserve"> and other publications</w:t>
      </w:r>
      <w:r>
        <w:rPr>
          <w:rFonts w:cs="Arial"/>
          <w:szCs w:val="28"/>
        </w:rPr>
        <w:t>,</w:t>
      </w:r>
      <w:r w:rsidRPr="00925672">
        <w:rPr>
          <w:rFonts w:cs="Arial"/>
          <w:szCs w:val="28"/>
        </w:rPr>
        <w:t xml:space="preserve"> and will refer to any quantitative analysis required by reporting standards in support of such explanations.”</w:t>
      </w:r>
    </w:p>
    <w:p w14:paraId="68B1B10B" w14:textId="77777777" w:rsidR="006C388E" w:rsidRDefault="006C388E" w:rsidP="002F055C">
      <w:pPr>
        <w:pStyle w:val="Tableheading"/>
      </w:pPr>
    </w:p>
    <w:p w14:paraId="03E1CEF0" w14:textId="77777777" w:rsidR="006C388E" w:rsidRDefault="006C388E" w:rsidP="002F055C">
      <w:pPr>
        <w:pStyle w:val="Tableheading"/>
      </w:pPr>
    </w:p>
    <w:p w14:paraId="08CC7BCC" w14:textId="77777777" w:rsidR="006C388E" w:rsidRDefault="006C388E" w:rsidP="002F055C">
      <w:pPr>
        <w:pStyle w:val="Tableheading"/>
      </w:pPr>
    </w:p>
    <w:p w14:paraId="27B5F3D6" w14:textId="77777777" w:rsidR="006C388E" w:rsidRDefault="006C388E" w:rsidP="002F055C">
      <w:pPr>
        <w:pStyle w:val="Tableheading"/>
      </w:pPr>
    </w:p>
    <w:p w14:paraId="0A583176" w14:textId="77777777" w:rsidR="006C388E" w:rsidRDefault="006C388E" w:rsidP="002F055C">
      <w:pPr>
        <w:pStyle w:val="Tableheading"/>
      </w:pPr>
    </w:p>
    <w:p w14:paraId="746E31BD" w14:textId="77777777" w:rsidR="006C388E" w:rsidRDefault="006C388E" w:rsidP="002F055C">
      <w:pPr>
        <w:pStyle w:val="Tableheading"/>
      </w:pPr>
    </w:p>
    <w:p w14:paraId="42771081" w14:textId="77777777" w:rsidR="006C388E" w:rsidRDefault="006C388E" w:rsidP="002F055C">
      <w:pPr>
        <w:pStyle w:val="Tableheading"/>
      </w:pPr>
    </w:p>
    <w:p w14:paraId="4B057460" w14:textId="77777777" w:rsidR="004448A4" w:rsidRDefault="004B5A05" w:rsidP="004448A4">
      <w:pPr>
        <w:pStyle w:val="Heading1"/>
      </w:pPr>
      <w:bookmarkStart w:id="14" w:name="_Toc510692484"/>
      <w:bookmarkStart w:id="15" w:name="_Toc523481602"/>
      <w:r>
        <w:lastRenderedPageBreak/>
        <w:t>3</w:t>
      </w:r>
      <w:r w:rsidR="7E0B751E" w:rsidRPr="00A219DC">
        <w:t xml:space="preserve">. </w:t>
      </w:r>
      <w:bookmarkEnd w:id="14"/>
      <w:r w:rsidR="00E402B3" w:rsidRPr="004448A4">
        <w:t>Appendic</w:t>
      </w:r>
      <w:r w:rsidR="7E0B751E" w:rsidRPr="004448A4">
        <w:t>es</w:t>
      </w:r>
      <w:bookmarkStart w:id="16" w:name="_Toc510692485"/>
      <w:bookmarkEnd w:id="15"/>
    </w:p>
    <w:p w14:paraId="6D1D36B7" w14:textId="4E5404E6" w:rsidR="00C60E3D" w:rsidRPr="00895750" w:rsidRDefault="00E402B3" w:rsidP="00895750">
      <w:pPr>
        <w:pStyle w:val="Heading1"/>
      </w:pPr>
      <w:bookmarkStart w:id="17" w:name="_Toc523481603"/>
      <w:r w:rsidRPr="004448A4">
        <w:lastRenderedPageBreak/>
        <w:t>Appendix</w:t>
      </w:r>
      <w:r w:rsidR="002231E5" w:rsidRPr="004B5A05">
        <w:rPr>
          <w:noProof/>
        </w:rPr>
        <w:t xml:space="preserve"> </w:t>
      </w:r>
      <w:r w:rsidR="004B5A05" w:rsidRPr="004B5A05">
        <w:rPr>
          <w:noProof/>
        </w:rPr>
        <w:t>1</w:t>
      </w:r>
      <w:r w:rsidR="008E3C44" w:rsidRPr="004B5A05">
        <w:rPr>
          <w:noProof/>
        </w:rPr>
        <w:t>:</w:t>
      </w:r>
      <w:r w:rsidR="00315813">
        <w:rPr>
          <w:noProof/>
        </w:rPr>
        <w:t xml:space="preserve"> Company presentation</w:t>
      </w:r>
      <w:r w:rsidR="004448A4">
        <w:rPr>
          <w:noProof/>
        </w:rPr>
        <w:t xml:space="preserve"> </w:t>
      </w:r>
      <w:r w:rsidR="00315813">
        <w:rPr>
          <w:noProof/>
        </w:rPr>
        <w:t>a</w:t>
      </w:r>
      <w:r w:rsidR="004448A4">
        <w:rPr>
          <w:noProof/>
        </w:rPr>
        <w:t>ttendee b</w:t>
      </w:r>
      <w:r w:rsidR="00271A78" w:rsidRPr="004B5A05">
        <w:rPr>
          <w:noProof/>
        </w:rPr>
        <w:t>iographies</w:t>
      </w:r>
      <w:bookmarkEnd w:id="16"/>
      <w:bookmarkEnd w:id="17"/>
      <w:r w:rsidR="008E3C44" w:rsidRPr="00F45E79">
        <w:t xml:space="preserve"> </w:t>
      </w:r>
      <w:bookmarkEnd w:id="13"/>
    </w:p>
    <w:tbl>
      <w:tblPr>
        <w:tblStyle w:val="TableGrid"/>
        <w:tblW w:w="0" w:type="auto"/>
        <w:tblLook w:val="04A0" w:firstRow="1" w:lastRow="0" w:firstColumn="1" w:lastColumn="0" w:noHBand="0" w:noVBand="1"/>
      </w:tblPr>
      <w:tblGrid>
        <w:gridCol w:w="2972"/>
        <w:gridCol w:w="6044"/>
      </w:tblGrid>
      <w:tr w:rsidR="00925672" w14:paraId="66CF0935" w14:textId="77777777" w:rsidTr="00E64F20">
        <w:tc>
          <w:tcPr>
            <w:tcW w:w="2972" w:type="dxa"/>
          </w:tcPr>
          <w:p w14:paraId="6F24CC77" w14:textId="77777777" w:rsidR="00925672" w:rsidRDefault="00925672" w:rsidP="00E64F20">
            <w:pPr>
              <w:rPr>
                <w:b/>
                <w:u w:val="single"/>
              </w:rPr>
            </w:pPr>
            <w:r>
              <w:rPr>
                <w:b/>
                <w:u w:val="single"/>
              </w:rPr>
              <w:t>Jeremy Pelczer</w:t>
            </w:r>
          </w:p>
          <w:p w14:paraId="15A90D27" w14:textId="57B0ED37" w:rsidR="00925672" w:rsidRPr="00925672" w:rsidRDefault="00925672" w:rsidP="00E64F20">
            <w:pPr>
              <w:rPr>
                <w:b/>
              </w:rPr>
            </w:pPr>
            <w:r w:rsidRPr="009109A1">
              <w:rPr>
                <w:b/>
              </w:rPr>
              <w:t>Chairman</w:t>
            </w:r>
          </w:p>
        </w:tc>
        <w:tc>
          <w:tcPr>
            <w:tcW w:w="6044" w:type="dxa"/>
          </w:tcPr>
          <w:p w14:paraId="364DEECD" w14:textId="57A82928" w:rsidR="00925672" w:rsidRPr="00445431" w:rsidRDefault="00925672" w:rsidP="00925672">
            <w:r w:rsidRPr="00427547">
              <w:t>Jeremy was elected Chairman in April 2013. He has a financial background and is a qualified accountant. He moved into the water industry in 1996 and was CEO and President of American Water in February 2004 until December 2005. He was the Chief Executive of Thames Water in November 2005 until its sale was completed in December 2006. He was Chair of WaterAid UK from 2007 to 2013 and from 2010 to 2016 he was Chair of WaterAid International. Prior to his appointment as Chairman of the Company he held the position of Non-executive Director at South Staf</w:t>
            </w:r>
            <w:r>
              <w:t>fordshire Water plc since 2010.</w:t>
            </w:r>
          </w:p>
        </w:tc>
      </w:tr>
      <w:tr w:rsidR="00925672" w14:paraId="2938A71F" w14:textId="77777777" w:rsidTr="00925672">
        <w:trPr>
          <w:trHeight w:val="3159"/>
        </w:trPr>
        <w:tc>
          <w:tcPr>
            <w:tcW w:w="2972" w:type="dxa"/>
          </w:tcPr>
          <w:p w14:paraId="2FA1352F" w14:textId="77777777" w:rsidR="00925672" w:rsidRDefault="00925672" w:rsidP="00E64F20">
            <w:pPr>
              <w:rPr>
                <w:b/>
                <w:u w:val="single"/>
              </w:rPr>
            </w:pPr>
            <w:r>
              <w:rPr>
                <w:b/>
                <w:u w:val="single"/>
              </w:rPr>
              <w:t>Anthony Ferrar</w:t>
            </w:r>
          </w:p>
          <w:p w14:paraId="704C89F1" w14:textId="39E9C17F" w:rsidR="00925672" w:rsidRPr="00925672" w:rsidRDefault="00925672" w:rsidP="00E64F20">
            <w:pPr>
              <w:rPr>
                <w:b/>
              </w:rPr>
            </w:pPr>
            <w:r w:rsidRPr="009109A1">
              <w:rPr>
                <w:b/>
              </w:rPr>
              <w:t>Managing Director</w:t>
            </w:r>
          </w:p>
        </w:tc>
        <w:tc>
          <w:tcPr>
            <w:tcW w:w="6044" w:type="dxa"/>
          </w:tcPr>
          <w:p w14:paraId="4354D9E9" w14:textId="3B15444B" w:rsidR="00925672" w:rsidRPr="00445431" w:rsidRDefault="00925672" w:rsidP="00925672">
            <w:r w:rsidRPr="00452CC2">
              <w:t>Anthony joined the Compan</w:t>
            </w:r>
            <w:r>
              <w:t xml:space="preserve">y in 2008 after 15 years as </w:t>
            </w:r>
            <w:r w:rsidRPr="00452CC2">
              <w:t xml:space="preserve">Finance Director and Company Secretary of Bournemouth &amp; West Hampshire Water plc. He previously worked in UK and overseas </w:t>
            </w:r>
            <w:r>
              <w:t xml:space="preserve">in </w:t>
            </w:r>
            <w:r w:rsidRPr="00452CC2">
              <w:t>contracting, manufacturing and service industries. Anthony is a Director of a number of associated companies, a member of the Board of Water UK and a Trustee of Water Companies Pension Scheme.</w:t>
            </w:r>
          </w:p>
        </w:tc>
      </w:tr>
      <w:tr w:rsidR="00925672" w14:paraId="56F848AC" w14:textId="77777777" w:rsidTr="00E64F20">
        <w:tc>
          <w:tcPr>
            <w:tcW w:w="2972" w:type="dxa"/>
          </w:tcPr>
          <w:p w14:paraId="7D70242E" w14:textId="77777777" w:rsidR="00925672" w:rsidRDefault="00925672" w:rsidP="00E64F20">
            <w:pPr>
              <w:rPr>
                <w:b/>
                <w:u w:val="single"/>
              </w:rPr>
            </w:pPr>
            <w:r>
              <w:rPr>
                <w:b/>
                <w:u w:val="single"/>
              </w:rPr>
              <w:t>Paul Kerr</w:t>
            </w:r>
          </w:p>
          <w:p w14:paraId="4CBB17AA" w14:textId="48B7A9A0" w:rsidR="00925672" w:rsidRPr="00925672" w:rsidRDefault="00925672" w:rsidP="00E64F20">
            <w:pPr>
              <w:rPr>
                <w:b/>
              </w:rPr>
            </w:pPr>
            <w:r>
              <w:rPr>
                <w:b/>
              </w:rPr>
              <w:t>Finance and Regulation Director</w:t>
            </w:r>
          </w:p>
        </w:tc>
        <w:tc>
          <w:tcPr>
            <w:tcW w:w="6044" w:type="dxa"/>
          </w:tcPr>
          <w:p w14:paraId="3C8C60CF" w14:textId="77777777" w:rsidR="00FC4087" w:rsidRDefault="00925672" w:rsidP="00FC4087">
            <w:r w:rsidRPr="00452CC2">
              <w:t>Paul joined the Company in April 2018 after 5 years at Thames Water as</w:t>
            </w:r>
            <w:r>
              <w:t>,</w:t>
            </w:r>
            <w:r w:rsidRPr="00452CC2">
              <w:t xml:space="preserve"> firstly</w:t>
            </w:r>
            <w:r>
              <w:t>,</w:t>
            </w:r>
            <w:r w:rsidRPr="00452CC2">
              <w:t xml:space="preserve"> its Group Financial Controller and then CFO of the Wastewater division. He previously worked as a director in PwC for 15 years, primarily auditing and consulting in its Energy &amp; Utilities practice, both in the US and UK.</w:t>
            </w:r>
          </w:p>
          <w:p w14:paraId="0EBF2B99" w14:textId="16EA7C2E" w:rsidR="00925672" w:rsidRPr="00445431" w:rsidRDefault="00FC4087" w:rsidP="00FC4087">
            <w:r>
              <w:t>Paul is r</w:t>
            </w:r>
            <w:r w:rsidR="00925672" w:rsidRPr="00452CC2">
              <w:t xml:space="preserve">esponsible for </w:t>
            </w:r>
            <w:r>
              <w:t xml:space="preserve">all </w:t>
            </w:r>
            <w:r w:rsidR="00925672" w:rsidRPr="00452CC2">
              <w:t>support</w:t>
            </w:r>
            <w:r w:rsidR="00925672">
              <w:t xml:space="preserve"> </w:t>
            </w:r>
            <w:r w:rsidR="00925672" w:rsidRPr="00452CC2">
              <w:t>functions, corporate</w:t>
            </w:r>
            <w:r w:rsidR="00925672">
              <w:t xml:space="preserve"> </w:t>
            </w:r>
            <w:r w:rsidR="00925672" w:rsidRPr="00452CC2">
              <w:t>governance and</w:t>
            </w:r>
            <w:r w:rsidR="00925672">
              <w:t xml:space="preserve"> </w:t>
            </w:r>
            <w:r w:rsidR="00925672" w:rsidRPr="00452CC2">
              <w:t>ensuring adherence with</w:t>
            </w:r>
            <w:r w:rsidR="00925672">
              <w:t xml:space="preserve"> </w:t>
            </w:r>
            <w:r w:rsidR="00925672" w:rsidRPr="00452CC2">
              <w:t>statutory and regulatory</w:t>
            </w:r>
            <w:r>
              <w:t xml:space="preserve"> </w:t>
            </w:r>
            <w:r w:rsidR="00925672" w:rsidRPr="00452CC2">
              <w:t>requirements.</w:t>
            </w:r>
          </w:p>
        </w:tc>
      </w:tr>
      <w:tr w:rsidR="00925672" w14:paraId="16742C71" w14:textId="77777777" w:rsidTr="00925672">
        <w:tc>
          <w:tcPr>
            <w:tcW w:w="2972" w:type="dxa"/>
          </w:tcPr>
          <w:p w14:paraId="5955E10B" w14:textId="77777777" w:rsidR="00925672" w:rsidRDefault="00925672" w:rsidP="00E64F20">
            <w:pPr>
              <w:rPr>
                <w:b/>
                <w:u w:val="single"/>
              </w:rPr>
            </w:pPr>
            <w:r>
              <w:rPr>
                <w:b/>
                <w:u w:val="single"/>
              </w:rPr>
              <w:lastRenderedPageBreak/>
              <w:t>John Chadwick</w:t>
            </w:r>
          </w:p>
          <w:p w14:paraId="7550DFD5" w14:textId="33A12724" w:rsidR="00925672" w:rsidRPr="00925672" w:rsidRDefault="00925672" w:rsidP="00E64F20">
            <w:pPr>
              <w:rPr>
                <w:b/>
              </w:rPr>
            </w:pPr>
            <w:r w:rsidRPr="009109A1">
              <w:rPr>
                <w:b/>
              </w:rPr>
              <w:t>Regulation Director</w:t>
            </w:r>
          </w:p>
        </w:tc>
        <w:tc>
          <w:tcPr>
            <w:tcW w:w="6044" w:type="dxa"/>
          </w:tcPr>
          <w:p w14:paraId="6E55426C" w14:textId="36EBACC4" w:rsidR="00925672" w:rsidRDefault="00925672" w:rsidP="00925672">
            <w:r>
              <w:t>John joined the Company in 2009. His previous role was as a senior manager at Ofgem. Prior to that he worked for</w:t>
            </w:r>
            <w:r w:rsidR="00FC4087">
              <w:t xml:space="preserve"> </w:t>
            </w:r>
            <w:r>
              <w:t>Tham</w:t>
            </w:r>
            <w:r w:rsidR="00FC4087">
              <w:t xml:space="preserve">es Water for nearly 20 years in </w:t>
            </w:r>
            <w:r>
              <w:t>finance and regulatory positions.</w:t>
            </w:r>
            <w:r w:rsidR="00FC4087">
              <w:t xml:space="preserve"> He is r</w:t>
            </w:r>
            <w:r>
              <w:t>esponsible for ensuring adherence with statutory and regulatory requirements.</w:t>
            </w:r>
          </w:p>
          <w:p w14:paraId="57E20F5C" w14:textId="77777777" w:rsidR="00925672" w:rsidRPr="00445431" w:rsidRDefault="00925672" w:rsidP="00925672"/>
        </w:tc>
      </w:tr>
      <w:tr w:rsidR="00925672" w14:paraId="3C07111B" w14:textId="77777777" w:rsidTr="00925672">
        <w:tc>
          <w:tcPr>
            <w:tcW w:w="2972" w:type="dxa"/>
          </w:tcPr>
          <w:p w14:paraId="01D9B3BC" w14:textId="77777777" w:rsidR="00925672" w:rsidRDefault="00925672" w:rsidP="00E64F20">
            <w:pPr>
              <w:rPr>
                <w:b/>
                <w:u w:val="single"/>
              </w:rPr>
            </w:pPr>
            <w:r>
              <w:rPr>
                <w:b/>
                <w:u w:val="single"/>
              </w:rPr>
              <w:t>Tom Kelly</w:t>
            </w:r>
          </w:p>
          <w:p w14:paraId="456799A3" w14:textId="3EB0F813" w:rsidR="00925672" w:rsidRPr="00925672" w:rsidRDefault="00925672" w:rsidP="00E64F20">
            <w:pPr>
              <w:rPr>
                <w:b/>
              </w:rPr>
            </w:pPr>
            <w:r w:rsidRPr="009109A1">
              <w:rPr>
                <w:b/>
              </w:rPr>
              <w:t>Wholesale Services Director</w:t>
            </w:r>
          </w:p>
        </w:tc>
        <w:tc>
          <w:tcPr>
            <w:tcW w:w="6044" w:type="dxa"/>
          </w:tcPr>
          <w:p w14:paraId="6BA34469" w14:textId="4D18A79E" w:rsidR="00082D1E" w:rsidRDefault="00925672" w:rsidP="00FC4087">
            <w:r w:rsidRPr="00452CC2">
              <w:t>Tom jo</w:t>
            </w:r>
            <w:r w:rsidR="00082D1E">
              <w:t xml:space="preserve">ined the Company in January 2017 </w:t>
            </w:r>
            <w:r w:rsidRPr="00452CC2">
              <w:t xml:space="preserve">following a number of months consulting for Southern Water and their Capital Delivery Partners (MWH, Costain, </w:t>
            </w:r>
            <w:proofErr w:type="spellStart"/>
            <w:r w:rsidRPr="00452CC2">
              <w:t>GallifordTry</w:t>
            </w:r>
            <w:proofErr w:type="spellEnd"/>
            <w:r w:rsidRPr="00452CC2">
              <w:t xml:space="preserve"> </w:t>
            </w:r>
            <w:r>
              <w:t>an</w:t>
            </w:r>
            <w:r w:rsidR="00FC4087">
              <w:t xml:space="preserve">d Morrisons Utility Services). </w:t>
            </w:r>
            <w:r w:rsidR="00082D1E">
              <w:t xml:space="preserve">For the five years prior he </w:t>
            </w:r>
            <w:r w:rsidR="00082D1E" w:rsidRPr="00082D1E">
              <w:t>ran the 4D joint venture (comprising Veolia, Costain and MWH), responsible for designing and building £600m of infrastructure and treatment works for Southern Water.</w:t>
            </w:r>
            <w:r w:rsidR="00082D1E">
              <w:t xml:space="preserve"> Before this he held roles at Centrica, Thames Water, including four years as Director of Wastewater Operations, and Esso Petroleum.</w:t>
            </w:r>
          </w:p>
          <w:p w14:paraId="2348D459" w14:textId="45E32ABF" w:rsidR="00082D1E" w:rsidRPr="00445431" w:rsidRDefault="00FC4087" w:rsidP="00082D1E">
            <w:r>
              <w:t>He is r</w:t>
            </w:r>
            <w:r w:rsidR="00925672">
              <w:t>esponsible for the delivery of water from source to tap</w:t>
            </w:r>
            <w:r>
              <w:t xml:space="preserve"> </w:t>
            </w:r>
            <w:r w:rsidR="00925672">
              <w:t>– including maintaining a sufficient water supply and</w:t>
            </w:r>
            <w:r>
              <w:t xml:space="preserve"> </w:t>
            </w:r>
            <w:r w:rsidR="00925672">
              <w:t>reducing leakage.</w:t>
            </w:r>
          </w:p>
        </w:tc>
      </w:tr>
      <w:tr w:rsidR="00925672" w14:paraId="72E610A6" w14:textId="77777777" w:rsidTr="00925672">
        <w:tc>
          <w:tcPr>
            <w:tcW w:w="2972" w:type="dxa"/>
          </w:tcPr>
          <w:p w14:paraId="76280A2E" w14:textId="523F68AD" w:rsidR="00925672" w:rsidRDefault="00925672" w:rsidP="00E64F20">
            <w:pPr>
              <w:rPr>
                <w:b/>
                <w:u w:val="single"/>
              </w:rPr>
            </w:pPr>
            <w:r>
              <w:rPr>
                <w:b/>
                <w:u w:val="single"/>
              </w:rPr>
              <w:t>Joanna Campbell</w:t>
            </w:r>
          </w:p>
          <w:p w14:paraId="6F968B49" w14:textId="2629C6EC" w:rsidR="00925672" w:rsidRPr="00925672" w:rsidRDefault="00925672" w:rsidP="00E64F20">
            <w:pPr>
              <w:rPr>
                <w:b/>
              </w:rPr>
            </w:pPr>
            <w:r w:rsidRPr="009109A1">
              <w:rPr>
                <w:b/>
              </w:rPr>
              <w:t>Economic Regulation Manager</w:t>
            </w:r>
          </w:p>
        </w:tc>
        <w:tc>
          <w:tcPr>
            <w:tcW w:w="6044" w:type="dxa"/>
          </w:tcPr>
          <w:p w14:paraId="7D6A5259" w14:textId="72BF9A26" w:rsidR="00925672" w:rsidRPr="00445431" w:rsidRDefault="00FC4087" w:rsidP="00FC4087">
            <w:r>
              <w:t>Joanna joined in June 201</w:t>
            </w:r>
            <w:r w:rsidR="0022529E">
              <w:t>5</w:t>
            </w:r>
            <w:r>
              <w:t xml:space="preserve"> to lead on all regulatory matters for the business. This followed over four years in network policy related roles at Ofgem. Prior to that she worked for a specialist economic consultancy. She has a degree in Economics from UCL. </w:t>
            </w:r>
          </w:p>
        </w:tc>
      </w:tr>
      <w:tr w:rsidR="00925672" w14:paraId="570CCF5B" w14:textId="77777777" w:rsidTr="00925672">
        <w:tc>
          <w:tcPr>
            <w:tcW w:w="2972" w:type="dxa"/>
          </w:tcPr>
          <w:p w14:paraId="274F3D49" w14:textId="4DBA5DFF" w:rsidR="00925672" w:rsidRPr="00925672" w:rsidRDefault="00925672" w:rsidP="00925672">
            <w:pPr>
              <w:rPr>
                <w:b/>
                <w:u w:val="single"/>
              </w:rPr>
            </w:pPr>
            <w:r w:rsidRPr="00DA55C7">
              <w:rPr>
                <w:b/>
                <w:u w:val="single"/>
              </w:rPr>
              <w:t xml:space="preserve">Graham Hanson, </w:t>
            </w:r>
            <w:r w:rsidRPr="009109A1">
              <w:rPr>
                <w:b/>
              </w:rPr>
              <w:t xml:space="preserve">Independent Chair </w:t>
            </w:r>
            <w:r>
              <w:rPr>
                <w:b/>
              </w:rPr>
              <w:t>of the Customer Scrutiny Panel</w:t>
            </w:r>
          </w:p>
        </w:tc>
        <w:tc>
          <w:tcPr>
            <w:tcW w:w="6044" w:type="dxa"/>
          </w:tcPr>
          <w:p w14:paraId="25EED923" w14:textId="65A321BE" w:rsidR="00925672" w:rsidRDefault="00925672" w:rsidP="00FC4087">
            <w:r w:rsidRPr="00445431">
              <w:t xml:space="preserve">Graham is actively involved in non-executive roles and charity work in the local community and he is also a customer, having lived in the Reigate area for over 30 years. Graham’s business background is mainly in IT &amp; Telecoms. He has specialist skills and senior management experience in business strategy, and </w:t>
            </w:r>
            <w:r w:rsidRPr="00445431">
              <w:lastRenderedPageBreak/>
              <w:t xml:space="preserve">planning/governance with a particular interest and focus on managing transformation and change. </w:t>
            </w:r>
          </w:p>
        </w:tc>
      </w:tr>
    </w:tbl>
    <w:p w14:paraId="708C7E16" w14:textId="47179C6C" w:rsidR="004448A4" w:rsidRDefault="004448A4" w:rsidP="000B5E14">
      <w:pPr>
        <w:rPr>
          <w:rFonts w:asciiTheme="minorHAnsi" w:hAnsiTheme="minorHAnsi"/>
        </w:rPr>
      </w:pPr>
    </w:p>
    <w:p w14:paraId="6CD1C8F7" w14:textId="77777777" w:rsidR="004448A4" w:rsidRDefault="004448A4" w:rsidP="000B5E14">
      <w:pPr>
        <w:rPr>
          <w:rFonts w:asciiTheme="minorHAnsi" w:hAnsiTheme="minorHAnsi"/>
        </w:rPr>
      </w:pPr>
    </w:p>
    <w:p w14:paraId="7391B898" w14:textId="77777777" w:rsidR="004448A4" w:rsidRDefault="004448A4" w:rsidP="000B5E14">
      <w:pPr>
        <w:rPr>
          <w:rFonts w:asciiTheme="minorHAnsi" w:hAnsiTheme="minorHAnsi"/>
        </w:rPr>
      </w:pPr>
    </w:p>
    <w:p w14:paraId="50D91C37" w14:textId="77777777" w:rsidR="004448A4" w:rsidRPr="000B5E14" w:rsidRDefault="004448A4" w:rsidP="000B5E14">
      <w:pPr>
        <w:rPr>
          <w:rFonts w:asciiTheme="minorHAnsi" w:hAnsiTheme="minorHAnsi"/>
        </w:rPr>
        <w:sectPr w:rsidR="004448A4" w:rsidRPr="000B5E14" w:rsidSect="00096BC0">
          <w:headerReference w:type="default" r:id="rId14"/>
          <w:footerReference w:type="default" r:id="rId15"/>
          <w:headerReference w:type="first" r:id="rId16"/>
          <w:pgSz w:w="11906" w:h="16838" w:code="9"/>
          <w:pgMar w:top="1440" w:right="1440" w:bottom="1440" w:left="1440" w:header="706" w:footer="706" w:gutter="0"/>
          <w:cols w:space="708"/>
          <w:docGrid w:linePitch="360"/>
        </w:sectPr>
      </w:pPr>
    </w:p>
    <w:p w14:paraId="144CDB90" w14:textId="1B566EFB" w:rsidR="00B44BC9" w:rsidRPr="000B5E14" w:rsidRDefault="00E402B3" w:rsidP="004448A4">
      <w:pPr>
        <w:pStyle w:val="Heading1"/>
      </w:pPr>
      <w:bookmarkStart w:id="18" w:name="_Toc510692487"/>
      <w:bookmarkStart w:id="19" w:name="_Toc523481604"/>
      <w:bookmarkStart w:id="20" w:name="Annex5KeyBusinessPlanMetrics"/>
      <w:r>
        <w:lastRenderedPageBreak/>
        <w:t>Appendix</w:t>
      </w:r>
      <w:r w:rsidR="00D9474E" w:rsidRPr="00F45E79">
        <w:t xml:space="preserve"> </w:t>
      </w:r>
      <w:r w:rsidR="004B5A05">
        <w:t>2</w:t>
      </w:r>
      <w:r w:rsidR="002C6BC4" w:rsidRPr="00F45E79">
        <w:t xml:space="preserve">: </w:t>
      </w:r>
      <w:r w:rsidR="004448A4">
        <w:t>Business plan executive s</w:t>
      </w:r>
      <w:r w:rsidR="00271A78" w:rsidRPr="00F45E79">
        <w:t>ummary</w:t>
      </w:r>
      <w:bookmarkEnd w:id="18"/>
      <w:bookmarkEnd w:id="19"/>
    </w:p>
    <w:bookmarkEnd w:id="20"/>
    <w:p w14:paraId="3E671903" w14:textId="77777777" w:rsidR="004935A9" w:rsidRDefault="004935A9" w:rsidP="004935A9">
      <w:pPr>
        <w:spacing w:after="160" w:line="259" w:lineRule="auto"/>
        <w:jc w:val="both"/>
        <w:rPr>
          <w:sz w:val="32"/>
          <w:szCs w:val="32"/>
        </w:rPr>
      </w:pPr>
      <w:r>
        <w:rPr>
          <w:noProof/>
          <w:sz w:val="32"/>
          <w:szCs w:val="32"/>
          <w:lang w:eastAsia="en-GB"/>
        </w:rPr>
        <w:drawing>
          <wp:inline distT="0" distB="0" distL="0" distR="0" wp14:anchorId="63AAA8C5" wp14:editId="55C81ECC">
            <wp:extent cx="5204957" cy="74961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2757" name=""/>
                    <pic:cNvPicPr>
                      <a:picLocks noChangeAspect="1"/>
                    </pic:cNvPicPr>
                  </pic:nvPicPr>
                  <pic:blipFill>
                    <a:blip r:embed="rId17"/>
                    <a:stretch>
                      <a:fillRect/>
                    </a:stretch>
                  </pic:blipFill>
                  <pic:spPr>
                    <a:xfrm>
                      <a:off x="0" y="0"/>
                      <a:ext cx="5209608" cy="7502874"/>
                    </a:xfrm>
                    <a:prstGeom prst="rect">
                      <a:avLst/>
                    </a:prstGeom>
                  </pic:spPr>
                </pic:pic>
              </a:graphicData>
            </a:graphic>
          </wp:inline>
        </w:drawing>
      </w:r>
    </w:p>
    <w:p w14:paraId="1437696D" w14:textId="77777777" w:rsidR="004935A9" w:rsidRDefault="004935A9" w:rsidP="004935A9">
      <w:pPr>
        <w:spacing w:after="160" w:line="259" w:lineRule="auto"/>
        <w:jc w:val="both"/>
        <w:rPr>
          <w:sz w:val="22"/>
        </w:rPr>
      </w:pPr>
      <w:r>
        <w:rPr>
          <w:rFonts w:eastAsia="Arial" w:cs="Arial"/>
          <w:sz w:val="22"/>
        </w:rPr>
        <w:lastRenderedPageBreak/>
        <w:t xml:space="preserve">Our Business Plan for 2020 to 2025 will deliver more for our customers and is focused on what matters most to them. We’ve developed it in partnership and it will deliver a series of pledges that represent their priorities. </w:t>
      </w:r>
    </w:p>
    <w:p w14:paraId="2CD42C34" w14:textId="77777777" w:rsidR="004935A9" w:rsidRDefault="004935A9" w:rsidP="004935A9">
      <w:pPr>
        <w:spacing w:after="160" w:line="259" w:lineRule="auto"/>
        <w:jc w:val="both"/>
        <w:rPr>
          <w:sz w:val="22"/>
        </w:rPr>
      </w:pPr>
      <w:r>
        <w:rPr>
          <w:rFonts w:eastAsia="Arial" w:cs="Arial"/>
          <w:sz w:val="22"/>
        </w:rPr>
        <w:t xml:space="preserve">Our pledges will be delivered through stretching performance targets, many of which are financially incentivised, to make sure we improve performance and service levels in-line with our customers’ expectations. </w:t>
      </w:r>
    </w:p>
    <w:p w14:paraId="62B083CE" w14:textId="77777777" w:rsidR="004935A9" w:rsidRDefault="004935A9" w:rsidP="004935A9">
      <w:pPr>
        <w:spacing w:after="160" w:line="259" w:lineRule="auto"/>
        <w:jc w:val="both"/>
        <w:rPr>
          <w:sz w:val="22"/>
        </w:rPr>
      </w:pPr>
      <w:r>
        <w:rPr>
          <w:rFonts w:eastAsia="Arial" w:cs="Arial"/>
          <w:sz w:val="22"/>
        </w:rPr>
        <w:t>Our plan is affordable for all – now and in the future. It incorporates action to address a range of risks and challenges, delivering the concept of long-term resilience in the round, and putting customers and the environment at its heart.</w:t>
      </w:r>
    </w:p>
    <w:p w14:paraId="28BD6987" w14:textId="77777777" w:rsidR="004935A9" w:rsidRDefault="004935A9" w:rsidP="004935A9">
      <w:pPr>
        <w:spacing w:after="160" w:line="259" w:lineRule="auto"/>
        <w:jc w:val="both"/>
        <w:rPr>
          <w:sz w:val="22"/>
        </w:rPr>
      </w:pPr>
      <w:r>
        <w:rPr>
          <w:rFonts w:eastAsia="Arial" w:cs="Arial"/>
          <w:sz w:val="22"/>
        </w:rPr>
        <w:t>It’s fully financeable, will be delivered efficiently and will be underpinned by strong leadership and governance with transparency of decision making and performance. This, together with improved service, will increase the confidence of our customers and ensure we are a trusted member of the community that makes a valued contribution.</w:t>
      </w:r>
    </w:p>
    <w:p w14:paraId="058624E8" w14:textId="77777777" w:rsidR="004935A9" w:rsidRDefault="004935A9" w:rsidP="004935A9">
      <w:pPr>
        <w:spacing w:after="160" w:line="259" w:lineRule="auto"/>
        <w:jc w:val="both"/>
        <w:rPr>
          <w:sz w:val="22"/>
        </w:rPr>
      </w:pPr>
      <w:r>
        <w:rPr>
          <w:rFonts w:eastAsia="Arial" w:cs="Arial"/>
          <w:sz w:val="22"/>
        </w:rPr>
        <w:t>We are building on solid foundations. Our performance in key areas such as supply interruptions, mains bursts, water quality customer contacts and leakage has set the bar for the industry and this plan will go further still. Our assets are in good condition because of past and current investment and strong operational stewardship. We’re focused on how we further increase our understanding of our network using smart technology and advanced assessment techniques, so we target investment even more accurately and efficiently to further improve our service and resilience. Our Board has long recognised the importance of strong corporate governance and we are an exemplar in this area – but we will do more. It will be delivered by our highly-skilled and committed people who will continue to act in the interests of our customers.</w:t>
      </w:r>
    </w:p>
    <w:p w14:paraId="064288FD" w14:textId="77777777" w:rsidR="004935A9" w:rsidRDefault="004935A9" w:rsidP="004935A9">
      <w:pPr>
        <w:spacing w:after="160" w:line="259" w:lineRule="auto"/>
        <w:jc w:val="both"/>
        <w:rPr>
          <w:sz w:val="22"/>
        </w:rPr>
      </w:pPr>
      <w:r>
        <w:rPr>
          <w:rFonts w:eastAsia="Arial" w:cs="Arial"/>
          <w:sz w:val="22"/>
        </w:rPr>
        <w:t xml:space="preserve">Our plan for 2020 to 2025 is set in the context of the longer term and addresses some key challenges. Our location in a high-growth, water stressed area means we will take bold action to reduce leakage and customer usage – expected by our customers. The ongoing questions around the legitimacy and financing of the industry have led us to take rapid action to reduce our level of borrowing in-line with Ofwat’s expectations and ensure we are on an even firmer financial footing. And while customer expectations continue to rise, we will keep up; building on the improvements we are making – including the biggest digital investment in our history – to offer a service that will see us compared with the leading providers of excellent customer service. </w:t>
      </w:r>
    </w:p>
    <w:p w14:paraId="418E07EF" w14:textId="77777777" w:rsidR="004935A9" w:rsidRDefault="004935A9" w:rsidP="004935A9">
      <w:pPr>
        <w:spacing w:after="160" w:line="259" w:lineRule="auto"/>
        <w:jc w:val="both"/>
      </w:pPr>
      <w:r>
        <w:rPr>
          <w:rFonts w:eastAsia="Arial" w:cs="Arial"/>
          <w:b/>
          <w:bCs/>
          <w:color w:val="003F84"/>
        </w:rPr>
        <w:t>Created in partnership</w:t>
      </w:r>
    </w:p>
    <w:p w14:paraId="00D3343E" w14:textId="77777777" w:rsidR="004935A9" w:rsidRDefault="004935A9" w:rsidP="004935A9">
      <w:pPr>
        <w:spacing w:after="160" w:line="259" w:lineRule="auto"/>
        <w:jc w:val="both"/>
        <w:rPr>
          <w:sz w:val="22"/>
        </w:rPr>
      </w:pPr>
      <w:r>
        <w:rPr>
          <w:rFonts w:eastAsia="Arial" w:cs="Arial"/>
          <w:sz w:val="22"/>
        </w:rPr>
        <w:t xml:space="preserve">Our plan is customer-led and has been created in partnership with our customers. We’ve had contact with nearly 3,000 people and collaborated with community groups and other stakeholders to help us reach across the different segments of our customer base – including the most vulnerable – to understand different views and priorities. </w:t>
      </w:r>
    </w:p>
    <w:p w14:paraId="4187EEE3" w14:textId="77777777" w:rsidR="004935A9" w:rsidRDefault="004935A9" w:rsidP="004935A9">
      <w:pPr>
        <w:spacing w:after="160" w:line="259" w:lineRule="auto"/>
        <w:jc w:val="both"/>
        <w:rPr>
          <w:sz w:val="22"/>
        </w:rPr>
      </w:pPr>
      <w:r>
        <w:rPr>
          <w:rFonts w:eastAsia="Arial" w:cs="Arial"/>
          <w:sz w:val="22"/>
        </w:rPr>
        <w:t xml:space="preserve">We’ve gone beyond just listening. Using a range of innovative techniques, we’ve involved customers in shaping our future services – something we’ll do more of as we deliver our </w:t>
      </w:r>
      <w:r>
        <w:rPr>
          <w:rFonts w:eastAsia="Arial" w:cs="Arial"/>
          <w:sz w:val="22"/>
        </w:rPr>
        <w:lastRenderedPageBreak/>
        <w:t>plan. We’ve taken the opportunity to educate for the here and now, framing our research activity in a way that increases customer understanding about current and future issues, such as the impact of prolonged dry weather on water resources.</w:t>
      </w:r>
    </w:p>
    <w:p w14:paraId="16E4556F" w14:textId="77777777" w:rsidR="004935A9" w:rsidRDefault="004935A9" w:rsidP="004935A9">
      <w:pPr>
        <w:spacing w:after="160" w:line="259" w:lineRule="auto"/>
        <w:jc w:val="both"/>
        <w:rPr>
          <w:sz w:val="22"/>
        </w:rPr>
      </w:pPr>
      <w:r>
        <w:rPr>
          <w:rFonts w:eastAsia="Arial" w:cs="Arial"/>
          <w:sz w:val="22"/>
        </w:rPr>
        <w:t>Together with the insight we collect through our day-to-day transactions, we are confident we understand our customers’ priorities better than ever before and have validated our findings through a robust process of triangulation. Where customers were unable to give us a clear mandate, we tested options further and for both leakage and usage reductions, we’ve set more stretching targets as a result.</w:t>
      </w:r>
    </w:p>
    <w:p w14:paraId="50AE2F88" w14:textId="77777777" w:rsidR="004935A9" w:rsidRDefault="004935A9" w:rsidP="004935A9">
      <w:pPr>
        <w:spacing w:after="160" w:line="259" w:lineRule="auto"/>
        <w:jc w:val="both"/>
        <w:rPr>
          <w:sz w:val="22"/>
        </w:rPr>
      </w:pPr>
      <w:r>
        <w:rPr>
          <w:rFonts w:eastAsia="Arial" w:cs="Arial"/>
          <w:sz w:val="22"/>
        </w:rPr>
        <w:t xml:space="preserve">All this has been scrutinised and challenged by our independent Customer Scrutiny Panel who agree that we have carried out a </w:t>
      </w:r>
      <w:proofErr w:type="gramStart"/>
      <w:r>
        <w:rPr>
          <w:rFonts w:eastAsia="Arial" w:cs="Arial"/>
          <w:sz w:val="22"/>
        </w:rPr>
        <w:t>high quality</w:t>
      </w:r>
      <w:proofErr w:type="gramEnd"/>
      <w:r>
        <w:rPr>
          <w:rFonts w:eastAsia="Arial" w:cs="Arial"/>
          <w:sz w:val="22"/>
        </w:rPr>
        <w:t xml:space="preserve"> engagement programme which has strongly influenced our plan.</w:t>
      </w:r>
    </w:p>
    <w:p w14:paraId="456254B0" w14:textId="77777777" w:rsidR="004935A9" w:rsidRDefault="004935A9" w:rsidP="004935A9">
      <w:pPr>
        <w:spacing w:after="160" w:line="259" w:lineRule="auto"/>
        <w:jc w:val="both"/>
      </w:pPr>
      <w:r>
        <w:rPr>
          <w:rFonts w:eastAsia="Arial" w:cs="Arial"/>
          <w:b/>
          <w:bCs/>
          <w:color w:val="003F84"/>
        </w:rPr>
        <w:t>Delivering more of what matters</w:t>
      </w:r>
    </w:p>
    <w:p w14:paraId="6857CD6F" w14:textId="77777777" w:rsidR="004935A9" w:rsidRDefault="004935A9" w:rsidP="004935A9">
      <w:pPr>
        <w:spacing w:after="160" w:line="259" w:lineRule="auto"/>
        <w:jc w:val="both"/>
        <w:rPr>
          <w:sz w:val="22"/>
        </w:rPr>
      </w:pPr>
      <w:r>
        <w:rPr>
          <w:rFonts w:eastAsia="Arial" w:cs="Arial"/>
          <w:sz w:val="22"/>
        </w:rPr>
        <w:t xml:space="preserve">This has led to us making five pledges that we’ll deliver between 2020 and 2025: </w:t>
      </w:r>
    </w:p>
    <w:p w14:paraId="0B7111F0" w14:textId="77777777" w:rsidR="004935A9" w:rsidRDefault="004935A9" w:rsidP="004935A9">
      <w:pPr>
        <w:spacing w:after="160" w:line="259" w:lineRule="auto"/>
        <w:jc w:val="center"/>
        <w:rPr>
          <w:sz w:val="22"/>
        </w:rPr>
      </w:pPr>
      <w:r>
        <w:rPr>
          <w:noProof/>
          <w:sz w:val="22"/>
          <w:lang w:eastAsia="en-GB"/>
        </w:rPr>
        <w:drawing>
          <wp:inline distT="0" distB="0" distL="0" distR="0" wp14:anchorId="5C1F2CB7" wp14:editId="33035534">
            <wp:extent cx="3924300" cy="4048125"/>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988820" name=""/>
                    <pic:cNvPicPr>
                      <a:picLocks noChangeAspect="1"/>
                    </pic:cNvPicPr>
                  </pic:nvPicPr>
                  <pic:blipFill>
                    <a:blip r:embed="rId18"/>
                    <a:stretch>
                      <a:fillRect/>
                    </a:stretch>
                  </pic:blipFill>
                  <pic:spPr>
                    <a:xfrm>
                      <a:off x="0" y="0"/>
                      <a:ext cx="3924300" cy="4048125"/>
                    </a:xfrm>
                    <a:prstGeom prst="rect">
                      <a:avLst/>
                    </a:prstGeom>
                  </pic:spPr>
                </pic:pic>
              </a:graphicData>
            </a:graphic>
          </wp:inline>
        </w:drawing>
      </w:r>
    </w:p>
    <w:p w14:paraId="0BC9EC46" w14:textId="77777777" w:rsidR="004935A9" w:rsidRDefault="004935A9" w:rsidP="004935A9">
      <w:pPr>
        <w:spacing w:after="160" w:line="259" w:lineRule="auto"/>
        <w:jc w:val="both"/>
        <w:rPr>
          <w:sz w:val="22"/>
        </w:rPr>
      </w:pPr>
      <w:r>
        <w:rPr>
          <w:rFonts w:eastAsia="Arial" w:cs="Arial"/>
          <w:sz w:val="22"/>
        </w:rPr>
        <w:t xml:space="preserve">Our pledges are supported by 24 performance commitments which reflect our customer priorities and will deliver stretching performance – which we believe will set the standard for the industry in key areas such as interruptions to supply, burst mains and leakage reductions. </w:t>
      </w:r>
    </w:p>
    <w:p w14:paraId="5C79E2DD" w14:textId="77777777" w:rsidR="004935A9" w:rsidRDefault="004935A9" w:rsidP="004935A9">
      <w:pPr>
        <w:spacing w:after="160" w:line="259" w:lineRule="auto"/>
        <w:jc w:val="both"/>
        <w:rPr>
          <w:sz w:val="22"/>
        </w:rPr>
      </w:pPr>
      <w:r>
        <w:rPr>
          <w:rFonts w:eastAsia="Arial" w:cs="Arial"/>
          <w:sz w:val="22"/>
        </w:rPr>
        <w:lastRenderedPageBreak/>
        <w:t>Of our performance commitments, 11 have financial penalties associated with them if we underperform, nine of which will also have an outperformance incentive. In general, these are the commitments that customers have said they value most. Payments and/or penalties will flow through to customer bills and this will happen ‘in period’, so performance in one year will impact on bills two years later.</w:t>
      </w:r>
    </w:p>
    <w:p w14:paraId="4B012348" w14:textId="77777777" w:rsidR="004935A9" w:rsidRDefault="004935A9" w:rsidP="004935A9">
      <w:pPr>
        <w:spacing w:after="160" w:line="259" w:lineRule="auto"/>
        <w:jc w:val="both"/>
      </w:pPr>
      <w:r>
        <w:rPr>
          <w:rFonts w:eastAsia="Arial" w:cs="Arial"/>
          <w:b/>
          <w:bCs/>
          <w:color w:val="003F84"/>
        </w:rPr>
        <w:t>Affordable for all</w:t>
      </w:r>
    </w:p>
    <w:p w14:paraId="05B369AF" w14:textId="77777777" w:rsidR="004935A9" w:rsidRDefault="004935A9" w:rsidP="004935A9">
      <w:pPr>
        <w:spacing w:after="160" w:line="259" w:lineRule="auto"/>
        <w:jc w:val="both"/>
        <w:rPr>
          <w:sz w:val="22"/>
        </w:rPr>
      </w:pPr>
      <w:r>
        <w:rPr>
          <w:rFonts w:eastAsia="Arial" w:cs="Arial"/>
          <w:sz w:val="22"/>
        </w:rPr>
        <w:t>We</w:t>
      </w:r>
      <w:r w:rsidRPr="00780599">
        <w:rPr>
          <w:rFonts w:eastAsia="Arial" w:cs="Arial"/>
          <w:sz w:val="22"/>
        </w:rPr>
        <w:t xml:space="preserve"> recognise</w:t>
      </w:r>
      <w:r>
        <w:rPr>
          <w:rFonts w:eastAsia="Arial" w:cs="Arial"/>
          <w:sz w:val="22"/>
        </w:rPr>
        <w:t xml:space="preserve"> that some people struggle to pay for our service and we’ll more than double the number of customers who receive extra help through our Water Support Scheme to 19,000, which we’ve redesigned through co-creation with expert customer representatives. </w:t>
      </w:r>
    </w:p>
    <w:p w14:paraId="4EEA20F6" w14:textId="77777777" w:rsidR="004935A9" w:rsidRDefault="004935A9" w:rsidP="004935A9">
      <w:pPr>
        <w:spacing w:after="160" w:line="259" w:lineRule="auto"/>
        <w:jc w:val="both"/>
        <w:rPr>
          <w:sz w:val="22"/>
        </w:rPr>
      </w:pPr>
      <w:r>
        <w:rPr>
          <w:rFonts w:eastAsia="Arial" w:cs="Arial"/>
          <w:sz w:val="22"/>
        </w:rPr>
        <w:t>Those customers who don’t require financial assistance will see their bills fall by an average of £13 (before inflation) between 2020 and 2025, despite us increasing investment in our services to £126 million over the period – more than £400 of investment per household. Inflation will impact on how much people pay but we are profiling our bills so they rise steadily across the five years, below the rate of inflation.</w:t>
      </w:r>
    </w:p>
    <w:p w14:paraId="06FF54AA" w14:textId="77777777" w:rsidR="004935A9" w:rsidRDefault="004935A9" w:rsidP="004935A9">
      <w:pPr>
        <w:spacing w:after="160" w:line="259" w:lineRule="auto"/>
        <w:jc w:val="both"/>
      </w:pPr>
      <w:r>
        <w:rPr>
          <w:rFonts w:eastAsia="Arial" w:cs="Arial"/>
          <w:b/>
          <w:bCs/>
          <w:color w:val="003F84"/>
        </w:rPr>
        <w:t>Delivering a service that’s ready for the future</w:t>
      </w:r>
    </w:p>
    <w:p w14:paraId="0C5FA254" w14:textId="77777777" w:rsidR="004935A9" w:rsidRDefault="004935A9" w:rsidP="004935A9">
      <w:pPr>
        <w:spacing w:after="160" w:line="259" w:lineRule="auto"/>
        <w:jc w:val="both"/>
        <w:rPr>
          <w:sz w:val="22"/>
        </w:rPr>
      </w:pPr>
      <w:r>
        <w:rPr>
          <w:rFonts w:eastAsia="Arial" w:cs="Arial"/>
          <w:sz w:val="22"/>
        </w:rPr>
        <w:t>We have a strong track record of planning and investing for the long term and this has provided the bedrock of our solid performance over many years. In developing our plan we’ve carried out the most comprehensive assessment into the risks we face to date and</w:t>
      </w:r>
      <w:r w:rsidRPr="00780599">
        <w:rPr>
          <w:rFonts w:eastAsia="Arial" w:cs="Arial"/>
          <w:sz w:val="22"/>
        </w:rPr>
        <w:t xml:space="preserve"> prioritised</w:t>
      </w:r>
      <w:r>
        <w:rPr>
          <w:rFonts w:eastAsia="Arial" w:cs="Arial"/>
          <w:sz w:val="22"/>
        </w:rPr>
        <w:t xml:space="preserve"> them using a robust, systematic method. This has covered all areas of our business – embracing ‘resilience in the round’ – and the process has helped us improve our approach to corporate risk management, resulting in the creation of a fully integrated model for the Company.</w:t>
      </w:r>
    </w:p>
    <w:p w14:paraId="4BE31634" w14:textId="77777777" w:rsidR="004935A9" w:rsidRDefault="004935A9" w:rsidP="004935A9">
      <w:pPr>
        <w:spacing w:after="160" w:line="259" w:lineRule="auto"/>
        <w:jc w:val="both"/>
        <w:rPr>
          <w:sz w:val="22"/>
        </w:rPr>
      </w:pPr>
      <w:r>
        <w:rPr>
          <w:rFonts w:eastAsia="Arial" w:cs="Arial"/>
          <w:sz w:val="22"/>
        </w:rPr>
        <w:t>We recognise that the type and nature of threats are changing and so must the way we mitigate them. We’ve used the Government’s four Rs approach – resistance, reliability, redundancy and response &amp; recovery – to identify mitigations for all risks. This means we are taking a range of actions, rebalancing our reliance on redundancy which has typically formed the basis of the resilience approach across the water sector, moving us more towards resistance and reliability.</w:t>
      </w:r>
    </w:p>
    <w:p w14:paraId="61D7B0BD" w14:textId="77777777" w:rsidR="004935A9" w:rsidRDefault="004935A9" w:rsidP="004935A9">
      <w:pPr>
        <w:spacing w:after="160" w:line="259" w:lineRule="auto"/>
        <w:jc w:val="both"/>
        <w:rPr>
          <w:sz w:val="22"/>
        </w:rPr>
      </w:pPr>
      <w:r>
        <w:rPr>
          <w:rFonts w:eastAsia="Arial" w:cs="Arial"/>
          <w:sz w:val="22"/>
        </w:rPr>
        <w:t xml:space="preserve">This can be seen in our increased investment in network connectivity, a long-term programme that will culminate in 2025 with us being able to supply every single customer from more than one treatment works through enhancing Bough Beech Treatment Works, upgrading key pumping stations and installing strategic pipelines. </w:t>
      </w:r>
    </w:p>
    <w:p w14:paraId="2AA4396C" w14:textId="77777777" w:rsidR="004935A9" w:rsidRDefault="004935A9" w:rsidP="004935A9">
      <w:pPr>
        <w:spacing w:after="160" w:line="259" w:lineRule="auto"/>
        <w:jc w:val="both"/>
        <w:rPr>
          <w:sz w:val="22"/>
        </w:rPr>
      </w:pPr>
      <w:r>
        <w:rPr>
          <w:rFonts w:eastAsia="Arial" w:cs="Arial"/>
          <w:sz w:val="22"/>
        </w:rPr>
        <w:t>Our plan is aligned with our Water Resources Management Plan – increasing protection against drought and delivering sustained leakage and usage reductions. This will be supported through increased metering – including the introduction of smart devices, along with practical water efficiency advice and a commitment to engagement with customers of all ages. Together, this will lead to greater long-term resilience and sustainability of our resources.</w:t>
      </w:r>
    </w:p>
    <w:p w14:paraId="793BBA40" w14:textId="77777777" w:rsidR="004935A9" w:rsidRDefault="004935A9" w:rsidP="004935A9">
      <w:pPr>
        <w:spacing w:after="160" w:line="259" w:lineRule="auto"/>
        <w:jc w:val="both"/>
        <w:rPr>
          <w:sz w:val="22"/>
        </w:rPr>
      </w:pPr>
      <w:r>
        <w:rPr>
          <w:rFonts w:eastAsia="Arial" w:cs="Arial"/>
          <w:sz w:val="22"/>
        </w:rPr>
        <w:lastRenderedPageBreak/>
        <w:t>Our resilience activity stretches beyond operational activity and, among other things, will see us taking further steps to increase the resilience of our workforce who are central to delivering our service. We’ll identify the long-term skills needed and focus on strong succession planning, enhanced recruitment and upskilling so that our people can meet the needs of our customers – now and in the future.</w:t>
      </w:r>
    </w:p>
    <w:p w14:paraId="0365172D" w14:textId="77777777" w:rsidR="004935A9" w:rsidRDefault="004935A9" w:rsidP="004935A9">
      <w:pPr>
        <w:spacing w:after="160" w:line="259" w:lineRule="auto"/>
        <w:jc w:val="both"/>
      </w:pPr>
      <w:r>
        <w:rPr>
          <w:rFonts w:eastAsia="Arial" w:cs="Arial"/>
          <w:b/>
          <w:bCs/>
          <w:color w:val="003F84"/>
        </w:rPr>
        <w:t>Supported by a culture of innovation and enhanced use of markets</w:t>
      </w:r>
    </w:p>
    <w:p w14:paraId="5836B871" w14:textId="77777777" w:rsidR="004935A9" w:rsidRDefault="004935A9" w:rsidP="004935A9">
      <w:pPr>
        <w:spacing w:after="160" w:line="259" w:lineRule="auto"/>
        <w:jc w:val="both"/>
        <w:rPr>
          <w:sz w:val="22"/>
        </w:rPr>
      </w:pPr>
      <w:r>
        <w:rPr>
          <w:rFonts w:eastAsia="Arial" w:cs="Arial"/>
          <w:sz w:val="22"/>
        </w:rPr>
        <w:t xml:space="preserve">To achieve all this, we’ll find ways to do things better than before. We have a strong culture of trying new approaches and have, over the years, delivered some key innovations that have benefitted the wider industry and all water customers. This is one of the major benefits of our small size, as we are agile decision-makers and have created an environment where thinking innovatively is encouraged and rewarded. Our long-term ambition is to develop an intelligent network that gives us real-time information about how it’s operating so we can react quickly to issues before they become a problem for customers. Together with developing ways to assess the condition of our below-ground assets without needing to dig them up, we’ll take pre-emptive action, so customers won’t experience difficulties and will receive great service. </w:t>
      </w:r>
    </w:p>
    <w:p w14:paraId="464EAF80" w14:textId="77777777" w:rsidR="004935A9" w:rsidRDefault="004935A9" w:rsidP="004935A9">
      <w:pPr>
        <w:spacing w:after="160" w:line="259" w:lineRule="auto"/>
        <w:jc w:val="both"/>
        <w:rPr>
          <w:sz w:val="22"/>
        </w:rPr>
      </w:pPr>
      <w:r>
        <w:rPr>
          <w:rFonts w:eastAsia="Arial" w:cs="Arial"/>
          <w:sz w:val="22"/>
        </w:rPr>
        <w:t xml:space="preserve">We expect the market opening for water resources to promote innovation in the provision of new options to help increase the long-term resilience of water supplies at costs lower than they would otherwise be. We will play our role in this process as an active member of the </w:t>
      </w:r>
      <w:bookmarkStart w:id="21" w:name="_Hlk522716770"/>
      <w:r>
        <w:rPr>
          <w:rFonts w:eastAsia="Arial" w:cs="Arial"/>
          <w:sz w:val="22"/>
        </w:rPr>
        <w:t xml:space="preserve">Water Resources in the South East (WRSE) </w:t>
      </w:r>
      <w:bookmarkEnd w:id="21"/>
      <w:r>
        <w:rPr>
          <w:rFonts w:eastAsia="Arial" w:cs="Arial"/>
          <w:sz w:val="22"/>
        </w:rPr>
        <w:t>group – who strongly advocate this enhanced agenda – in the expansion, development and optimisation of regional and inter-regional water resource planning. The development of the latest WRSE strategy has seen significantly more co-ordination between member companies both at strategic and technical levels than ever before. Together we are committed to continuing our collaborative work, for the benefit of all customers and the environment.</w:t>
      </w:r>
    </w:p>
    <w:p w14:paraId="53AFA348" w14:textId="77777777" w:rsidR="004935A9" w:rsidRDefault="004935A9" w:rsidP="004935A9">
      <w:pPr>
        <w:spacing w:after="160" w:line="259" w:lineRule="auto"/>
        <w:jc w:val="both"/>
      </w:pPr>
      <w:r>
        <w:rPr>
          <w:rFonts w:eastAsia="Arial" w:cs="Arial"/>
          <w:b/>
          <w:bCs/>
          <w:color w:val="003F84"/>
        </w:rPr>
        <w:t xml:space="preserve">Underpinned by strong governance </w:t>
      </w:r>
    </w:p>
    <w:p w14:paraId="1417DC92" w14:textId="77777777" w:rsidR="004935A9" w:rsidRDefault="004935A9" w:rsidP="004935A9">
      <w:pPr>
        <w:spacing w:after="160" w:line="259" w:lineRule="auto"/>
        <w:jc w:val="both"/>
        <w:rPr>
          <w:sz w:val="22"/>
        </w:rPr>
      </w:pPr>
      <w:r>
        <w:rPr>
          <w:rFonts w:eastAsia="Arial" w:cs="Arial"/>
          <w:sz w:val="22"/>
        </w:rPr>
        <w:t xml:space="preserve">Our Board recognises the importance of strong leadership, transparency and governance and we are already following Ofwat’s principles and delivering much of what has been identified as strong performance in this area. This includes our independent non-executive directors making up the biggest group on our Board. </w:t>
      </w:r>
    </w:p>
    <w:p w14:paraId="72759797" w14:textId="77777777" w:rsidR="004935A9" w:rsidRDefault="004935A9" w:rsidP="004935A9">
      <w:pPr>
        <w:spacing w:after="160" w:line="259" w:lineRule="auto"/>
        <w:jc w:val="both"/>
        <w:rPr>
          <w:sz w:val="22"/>
        </w:rPr>
      </w:pPr>
      <w:r>
        <w:rPr>
          <w:rFonts w:eastAsia="Arial" w:cs="Arial"/>
          <w:sz w:val="22"/>
        </w:rPr>
        <w:t>Our dividend policy has resulted in dividends that have not been excessive, are linked to delivering strong performance and are in-line with Ofwat’s expected returns. But we will be clearer on how we make our decisions about the level and timing of returns our shareholders receive. We will also review our executive pay policy, so it is linked more closely to delivering for our customers.</w:t>
      </w:r>
    </w:p>
    <w:p w14:paraId="244571CB" w14:textId="77777777" w:rsidR="004935A9" w:rsidRDefault="004935A9" w:rsidP="004935A9">
      <w:pPr>
        <w:spacing w:after="160" w:line="259" w:lineRule="auto"/>
        <w:jc w:val="both"/>
      </w:pPr>
      <w:r>
        <w:rPr>
          <w:rFonts w:eastAsia="Arial" w:cs="Arial"/>
          <w:b/>
          <w:bCs/>
          <w:color w:val="003F84"/>
        </w:rPr>
        <w:t>Financeable and efficient</w:t>
      </w:r>
    </w:p>
    <w:p w14:paraId="172B4EFE" w14:textId="77777777" w:rsidR="004935A9" w:rsidRDefault="004935A9" w:rsidP="004935A9">
      <w:pPr>
        <w:spacing w:after="160" w:line="259" w:lineRule="auto"/>
        <w:jc w:val="both"/>
        <w:rPr>
          <w:sz w:val="22"/>
        </w:rPr>
      </w:pPr>
      <w:r>
        <w:rPr>
          <w:rFonts w:eastAsia="Arial" w:cs="Arial"/>
          <w:sz w:val="22"/>
        </w:rPr>
        <w:t>The total cost of our plan is £286 million, which includes making £21 million of efficiency savings between 2020 and 2025.</w:t>
      </w:r>
    </w:p>
    <w:p w14:paraId="73821C5E" w14:textId="77777777" w:rsidR="004935A9" w:rsidRDefault="004935A9" w:rsidP="004935A9">
      <w:pPr>
        <w:spacing w:after="160" w:line="259" w:lineRule="auto"/>
        <w:jc w:val="both"/>
        <w:rPr>
          <w:sz w:val="22"/>
        </w:rPr>
      </w:pPr>
      <w:r>
        <w:rPr>
          <w:rFonts w:eastAsia="Arial" w:cs="Arial"/>
          <w:sz w:val="22"/>
        </w:rPr>
        <w:lastRenderedPageBreak/>
        <w:t>We recognise the importance of Ofwat’s agenda to put the sector back in balance and have already taken decisive action. By the start of 2020 we will have reduced our level of gearing from 77% to below 60% - increasing our financial resilience. We’ve assessed a broad range of risks – both prescribed and company-specific – through to 2030 and our</w:t>
      </w:r>
      <w:r>
        <w:rPr>
          <w:rFonts w:eastAsia="Arial" w:cs="Arial"/>
          <w:sz w:val="20"/>
          <w:szCs w:val="20"/>
        </w:rPr>
        <w:t xml:space="preserve"> </w:t>
      </w:r>
      <w:r>
        <w:rPr>
          <w:rFonts w:eastAsia="Arial" w:cs="Arial"/>
          <w:sz w:val="22"/>
        </w:rPr>
        <w:t xml:space="preserve">increased level of equity means that we are in a strong position to raise finance if we need it. We have, in addition, received an undertaking from our shareholders that they will provide additional investment, if needed, in a scenario where multiple risks occur at the same time. </w:t>
      </w:r>
    </w:p>
    <w:p w14:paraId="618747E5" w14:textId="77777777" w:rsidR="004935A9" w:rsidRDefault="004935A9" w:rsidP="004935A9">
      <w:pPr>
        <w:spacing w:after="160" w:line="259" w:lineRule="auto"/>
        <w:jc w:val="both"/>
        <w:rPr>
          <w:sz w:val="22"/>
        </w:rPr>
      </w:pPr>
      <w:r>
        <w:rPr>
          <w:rFonts w:eastAsia="Arial" w:cs="Arial"/>
          <w:sz w:val="22"/>
        </w:rPr>
        <w:t>Our plan assumes a wholesale weighted average cost of capital (WACC) of 3.45%, deviating from Ofwat’s indicative guidance with a company-specific adjustment to the cost of debt, reflecting our position as a small company. We believe this is justified to address the higher costs we face when securing finance. We’ve demonstrated that our existing borrowing is efficient, our customers strongly support paying slightly more to be served by a small company and our size means we deliver benefits to all water customers, particularly in setting frontier-shifting performance standards and driving innovation.</w:t>
      </w:r>
    </w:p>
    <w:p w14:paraId="1DDDFEE0" w14:textId="77777777" w:rsidR="004935A9" w:rsidRDefault="004935A9" w:rsidP="004935A9">
      <w:pPr>
        <w:spacing w:after="160" w:line="259" w:lineRule="auto"/>
        <w:jc w:val="both"/>
      </w:pPr>
      <w:r>
        <w:rPr>
          <w:rFonts w:eastAsia="Arial" w:cs="Arial"/>
          <w:b/>
          <w:bCs/>
          <w:color w:val="003F84"/>
        </w:rPr>
        <w:t>Fully assured and supported by customers</w:t>
      </w:r>
    </w:p>
    <w:p w14:paraId="68879351" w14:textId="77777777" w:rsidR="004935A9" w:rsidRDefault="004935A9" w:rsidP="004935A9">
      <w:pPr>
        <w:spacing w:after="160" w:line="259" w:lineRule="auto"/>
        <w:jc w:val="both"/>
        <w:rPr>
          <w:sz w:val="22"/>
        </w:rPr>
      </w:pPr>
      <w:r>
        <w:rPr>
          <w:rFonts w:eastAsia="Arial" w:cs="Arial"/>
          <w:sz w:val="22"/>
        </w:rPr>
        <w:t>The data, modelling and assumptions that have been used to build our plan have been independently assured and our Board has provided a full assurance statement that supports our plan.</w:t>
      </w:r>
    </w:p>
    <w:p w14:paraId="342B7041" w14:textId="77777777" w:rsidR="004935A9" w:rsidRDefault="004935A9" w:rsidP="004935A9">
      <w:pPr>
        <w:spacing w:after="160" w:line="259" w:lineRule="auto"/>
        <w:jc w:val="both"/>
        <w:rPr>
          <w:sz w:val="22"/>
        </w:rPr>
      </w:pPr>
      <w:r>
        <w:rPr>
          <w:rFonts w:eastAsia="Arial" w:cs="Arial"/>
          <w:sz w:val="22"/>
        </w:rPr>
        <w:t xml:space="preserve">We tested a draft version of our plan with customers, who demonstrated strong support for the package of service improvements we will deliver. Where they wanted us to go further – to reduce leakage and usage – we have. </w:t>
      </w:r>
    </w:p>
    <w:p w14:paraId="017E41B0" w14:textId="77777777" w:rsidR="004935A9" w:rsidRDefault="004935A9" w:rsidP="004935A9">
      <w:pPr>
        <w:spacing w:after="160" w:line="259" w:lineRule="auto"/>
        <w:jc w:val="both"/>
        <w:rPr>
          <w:sz w:val="22"/>
        </w:rPr>
      </w:pPr>
      <w:r>
        <w:rPr>
          <w:rFonts w:eastAsia="Arial" w:cs="Arial"/>
          <w:sz w:val="22"/>
        </w:rPr>
        <w:t>Our plan has the support of our full Board who are committed to its delivery over the 2020 to 2025 period.</w:t>
      </w:r>
    </w:p>
    <w:p w14:paraId="58C8DBB0" w14:textId="0946CE8D" w:rsidR="000450A0" w:rsidRDefault="000450A0" w:rsidP="000450A0">
      <w:pPr>
        <w:spacing w:after="160" w:line="259" w:lineRule="auto"/>
        <w:jc w:val="both"/>
        <w:rPr>
          <w:sz w:val="32"/>
          <w:szCs w:val="32"/>
        </w:rPr>
      </w:pPr>
    </w:p>
    <w:p w14:paraId="70FB856D" w14:textId="77777777" w:rsidR="00271A78" w:rsidRPr="004E411A" w:rsidRDefault="00271A78" w:rsidP="004448A4">
      <w:pPr>
        <w:rPr>
          <w:lang w:eastAsia="en-GB"/>
        </w:rPr>
      </w:pPr>
    </w:p>
    <w:p w14:paraId="7C3A9ABC" w14:textId="77777777" w:rsidR="00271A78" w:rsidRPr="004E411A" w:rsidRDefault="00271A78" w:rsidP="004448A4">
      <w:pPr>
        <w:rPr>
          <w:lang w:eastAsia="en-GB"/>
        </w:rPr>
      </w:pPr>
    </w:p>
    <w:p w14:paraId="6F4F0D1D" w14:textId="77777777" w:rsidR="00271A78" w:rsidRPr="004E411A" w:rsidRDefault="00271A78" w:rsidP="004448A4">
      <w:pPr>
        <w:rPr>
          <w:lang w:eastAsia="en-GB"/>
        </w:rPr>
      </w:pPr>
    </w:p>
    <w:p w14:paraId="46B70440" w14:textId="77777777" w:rsidR="00271A78" w:rsidRPr="004E411A" w:rsidRDefault="00271A78" w:rsidP="004448A4">
      <w:pPr>
        <w:rPr>
          <w:lang w:eastAsia="en-GB"/>
        </w:rPr>
      </w:pPr>
    </w:p>
    <w:p w14:paraId="762AE8AF" w14:textId="77777777" w:rsidR="00271A78" w:rsidRPr="004E411A" w:rsidRDefault="00271A78" w:rsidP="004448A4">
      <w:pPr>
        <w:rPr>
          <w:lang w:eastAsia="en-GB"/>
        </w:rPr>
      </w:pPr>
    </w:p>
    <w:p w14:paraId="672D6ED1" w14:textId="77777777" w:rsidR="00271A78" w:rsidRPr="004E411A" w:rsidRDefault="00271A78" w:rsidP="004448A4">
      <w:pPr>
        <w:rPr>
          <w:lang w:eastAsia="en-GB"/>
        </w:rPr>
      </w:pPr>
    </w:p>
    <w:p w14:paraId="550141D5" w14:textId="77777777" w:rsidR="00271A78" w:rsidRPr="004E411A" w:rsidRDefault="00271A78" w:rsidP="00EA70E0">
      <w:pPr>
        <w:pStyle w:val="Text"/>
        <w:rPr>
          <w:rFonts w:asciiTheme="minorHAnsi" w:eastAsiaTheme="majorEastAsia" w:hAnsiTheme="minorHAnsi" w:cstheme="minorHAnsi"/>
          <w:bCs/>
          <w:sz w:val="24"/>
          <w:szCs w:val="24"/>
          <w:lang w:eastAsia="en-GB"/>
        </w:rPr>
      </w:pPr>
    </w:p>
    <w:p w14:paraId="4C9ACCF8" w14:textId="1F710067" w:rsidR="00212DE8" w:rsidRPr="00F45E79" w:rsidRDefault="00E402B3" w:rsidP="004448A4">
      <w:pPr>
        <w:pStyle w:val="Heading1"/>
      </w:pPr>
      <w:bookmarkStart w:id="22" w:name="_Toc510692488"/>
      <w:bookmarkStart w:id="23" w:name="_Toc523481605"/>
      <w:r>
        <w:lastRenderedPageBreak/>
        <w:t>Appendix</w:t>
      </w:r>
      <w:r w:rsidR="004B5A05">
        <w:t xml:space="preserve"> 3</w:t>
      </w:r>
      <w:r w:rsidR="00212DE8" w:rsidRPr="00F45E79">
        <w:t xml:space="preserve">: </w:t>
      </w:r>
      <w:r w:rsidR="004448A4">
        <w:t>CCG report executive s</w:t>
      </w:r>
      <w:r w:rsidR="00271A78" w:rsidRPr="00F45E79">
        <w:t>ummary</w:t>
      </w:r>
      <w:bookmarkEnd w:id="22"/>
      <w:bookmarkEnd w:id="23"/>
      <w:r w:rsidR="00212DE8" w:rsidRPr="00F45E79">
        <w:tab/>
      </w:r>
    </w:p>
    <w:p w14:paraId="3784C632" w14:textId="77777777" w:rsidR="00082D1E" w:rsidRPr="009F3DF2" w:rsidRDefault="00082D1E" w:rsidP="007A4C0A">
      <w:pPr>
        <w:pStyle w:val="Heading2"/>
        <w:numPr>
          <w:ilvl w:val="1"/>
          <w:numId w:val="13"/>
        </w:numPr>
        <w:spacing w:before="40" w:after="160" w:line="240" w:lineRule="auto"/>
        <w:ind w:left="431" w:hanging="431"/>
        <w:rPr>
          <w:sz w:val="28"/>
          <w:szCs w:val="28"/>
        </w:rPr>
      </w:pPr>
      <w:bookmarkStart w:id="24" w:name="_Toc522210815"/>
      <w:bookmarkStart w:id="25" w:name="_Toc523481606"/>
      <w:r w:rsidRPr="009F3DF2">
        <w:rPr>
          <w:sz w:val="28"/>
          <w:szCs w:val="28"/>
        </w:rPr>
        <w:t>Introduction</w:t>
      </w:r>
      <w:bookmarkEnd w:id="24"/>
      <w:bookmarkEnd w:id="25"/>
    </w:p>
    <w:p w14:paraId="4DF705A6" w14:textId="4BE7B45F" w:rsidR="00082D1E" w:rsidRPr="00866102" w:rsidRDefault="00082D1E" w:rsidP="00572D79">
      <w:pPr>
        <w:autoSpaceDE w:val="0"/>
        <w:autoSpaceDN w:val="0"/>
        <w:adjustRightInd w:val="0"/>
        <w:jc w:val="both"/>
        <w:rPr>
          <w:color w:val="000000"/>
        </w:rPr>
      </w:pPr>
      <w:r>
        <w:rPr>
          <w:color w:val="000000"/>
        </w:rPr>
        <w:t xml:space="preserve">As Chairman of the </w:t>
      </w:r>
      <w:r w:rsidRPr="00866102">
        <w:rPr>
          <w:color w:val="000000"/>
        </w:rPr>
        <w:t>Customer Scrutiny Panel</w:t>
      </w:r>
      <w:r>
        <w:rPr>
          <w:color w:val="000000"/>
        </w:rPr>
        <w:t xml:space="preserve"> (CSP) for SES Water (SESW)</w:t>
      </w:r>
      <w:r w:rsidRPr="00866102">
        <w:rPr>
          <w:color w:val="000000"/>
        </w:rPr>
        <w:t>, I am delighted to present this assurance report</w:t>
      </w:r>
      <w:r>
        <w:rPr>
          <w:color w:val="000000"/>
        </w:rPr>
        <w:t>, on behalf of my Panel members,</w:t>
      </w:r>
      <w:r w:rsidRPr="00866102">
        <w:rPr>
          <w:color w:val="000000"/>
        </w:rPr>
        <w:t xml:space="preserve"> in support of the company’s 2020-2025 Business Plan. </w:t>
      </w:r>
    </w:p>
    <w:p w14:paraId="18A07E69" w14:textId="77777777" w:rsidR="00082D1E" w:rsidRPr="001406E0" w:rsidRDefault="00082D1E" w:rsidP="00E343D2">
      <w:pPr>
        <w:autoSpaceDE w:val="0"/>
        <w:autoSpaceDN w:val="0"/>
        <w:adjustRightInd w:val="0"/>
        <w:spacing w:after="0"/>
        <w:jc w:val="both"/>
        <w:rPr>
          <w:color w:val="000000"/>
        </w:rPr>
      </w:pPr>
      <w:r w:rsidRPr="00866102">
        <w:rPr>
          <w:color w:val="000000"/>
        </w:rPr>
        <w:t xml:space="preserve">The report sets out the evidence of how the CSP has performed its role to advise, scrutinize and challenge the </w:t>
      </w:r>
      <w:r>
        <w:rPr>
          <w:color w:val="000000"/>
        </w:rPr>
        <w:t>company</w:t>
      </w:r>
      <w:r w:rsidRPr="00866102">
        <w:rPr>
          <w:color w:val="000000"/>
        </w:rPr>
        <w:t xml:space="preserve"> in the development of the Business Plan</w:t>
      </w:r>
      <w:r>
        <w:rPr>
          <w:color w:val="000000"/>
        </w:rPr>
        <w:t xml:space="preserve">, in line with the </w:t>
      </w:r>
      <w:r w:rsidRPr="00FA467F">
        <w:rPr>
          <w:color w:val="000000"/>
        </w:rPr>
        <w:t>guidance</w:t>
      </w:r>
      <w:r>
        <w:rPr>
          <w:rStyle w:val="FootnoteReference"/>
          <w:color w:val="000000"/>
        </w:rPr>
        <w:footnoteReference w:id="2"/>
      </w:r>
      <w:r w:rsidRPr="00FA467F">
        <w:rPr>
          <w:color w:val="000000"/>
        </w:rPr>
        <w:t xml:space="preserve"> provided by Ofwat in </w:t>
      </w:r>
      <w:r>
        <w:rPr>
          <w:color w:val="000000"/>
        </w:rPr>
        <w:t>March 2018 which requires the CSP</w:t>
      </w:r>
      <w:r w:rsidRPr="001406E0">
        <w:rPr>
          <w:color w:val="000000"/>
        </w:rPr>
        <w:t xml:space="preserve"> to provide independent challenge to </w:t>
      </w:r>
      <w:r>
        <w:rPr>
          <w:color w:val="000000"/>
        </w:rPr>
        <w:t>SESW</w:t>
      </w:r>
      <w:r w:rsidRPr="001406E0">
        <w:rPr>
          <w:color w:val="000000"/>
        </w:rPr>
        <w:t xml:space="preserve"> and independent assurance to </w:t>
      </w:r>
      <w:r>
        <w:rPr>
          <w:color w:val="000000"/>
        </w:rPr>
        <w:t xml:space="preserve">Ofwat on: </w:t>
      </w:r>
    </w:p>
    <w:p w14:paraId="601E3219" w14:textId="77777777" w:rsidR="00082D1E" w:rsidRPr="00E343D2" w:rsidRDefault="00082D1E" w:rsidP="00572D79">
      <w:pPr>
        <w:pStyle w:val="ListParagraph"/>
        <w:numPr>
          <w:ilvl w:val="0"/>
          <w:numId w:val="10"/>
        </w:numPr>
        <w:autoSpaceDE w:val="0"/>
        <w:autoSpaceDN w:val="0"/>
        <w:adjustRightInd w:val="0"/>
        <w:spacing w:before="0" w:after="0" w:line="240" w:lineRule="auto"/>
        <w:ind w:left="709" w:hanging="283"/>
        <w:contextualSpacing/>
        <w:jc w:val="both"/>
        <w:rPr>
          <w:color w:val="000000"/>
          <w:sz w:val="24"/>
        </w:rPr>
      </w:pPr>
      <w:r w:rsidRPr="00E343D2">
        <w:rPr>
          <w:color w:val="000000"/>
          <w:sz w:val="24"/>
        </w:rPr>
        <w:t xml:space="preserve">the quality of the company’s customer engagement; and </w:t>
      </w:r>
    </w:p>
    <w:p w14:paraId="78D698D9" w14:textId="1D7958D1" w:rsidR="00082D1E" w:rsidRPr="00E343D2" w:rsidRDefault="00082D1E" w:rsidP="00572D79">
      <w:pPr>
        <w:pStyle w:val="ListParagraph"/>
        <w:numPr>
          <w:ilvl w:val="0"/>
          <w:numId w:val="10"/>
        </w:numPr>
        <w:autoSpaceDE w:val="0"/>
        <w:autoSpaceDN w:val="0"/>
        <w:adjustRightInd w:val="0"/>
        <w:spacing w:before="0" w:after="0" w:line="240" w:lineRule="auto"/>
        <w:ind w:left="709" w:hanging="283"/>
        <w:contextualSpacing/>
        <w:jc w:val="both"/>
        <w:rPr>
          <w:color w:val="000000"/>
          <w:sz w:val="24"/>
        </w:rPr>
      </w:pPr>
      <w:r w:rsidRPr="00E343D2">
        <w:rPr>
          <w:color w:val="000000"/>
          <w:sz w:val="24"/>
        </w:rPr>
        <w:t>the extent to which the results of this engagement are driving the company’s decision making and being reflected in the company’s Business Plan.</w:t>
      </w:r>
    </w:p>
    <w:p w14:paraId="5BB2C62D" w14:textId="77777777" w:rsidR="00082D1E" w:rsidRDefault="00082D1E" w:rsidP="00E343D2">
      <w:pPr>
        <w:autoSpaceDE w:val="0"/>
        <w:autoSpaceDN w:val="0"/>
        <w:adjustRightInd w:val="0"/>
        <w:spacing w:after="0"/>
        <w:jc w:val="both"/>
        <w:rPr>
          <w:color w:val="000000"/>
        </w:rPr>
      </w:pPr>
      <w:r>
        <w:rPr>
          <w:color w:val="000000"/>
        </w:rPr>
        <w:t xml:space="preserve">The CSP is </w:t>
      </w:r>
      <w:r w:rsidRPr="00C461C6">
        <w:rPr>
          <w:color w:val="000000"/>
        </w:rPr>
        <w:t>pleased to report that the</w:t>
      </w:r>
      <w:r>
        <w:rPr>
          <w:color w:val="000000"/>
        </w:rPr>
        <w:t>re has been a positive</w:t>
      </w:r>
      <w:r w:rsidRPr="00C461C6">
        <w:rPr>
          <w:color w:val="000000"/>
        </w:rPr>
        <w:t xml:space="preserve"> working relationship between SES</w:t>
      </w:r>
      <w:r>
        <w:rPr>
          <w:color w:val="000000"/>
        </w:rPr>
        <w:t>W</w:t>
      </w:r>
      <w:r w:rsidRPr="00C461C6">
        <w:rPr>
          <w:color w:val="000000"/>
        </w:rPr>
        <w:t xml:space="preserve"> and the CSP</w:t>
      </w:r>
      <w:r>
        <w:rPr>
          <w:color w:val="000000"/>
        </w:rPr>
        <w:t xml:space="preserve">, with </w:t>
      </w:r>
      <w:r w:rsidRPr="00C461C6">
        <w:rPr>
          <w:color w:val="000000"/>
        </w:rPr>
        <w:t>effective</w:t>
      </w:r>
      <w:r w:rsidRPr="00FA467F">
        <w:rPr>
          <w:color w:val="000000"/>
        </w:rPr>
        <w:t xml:space="preserve"> meeting </w:t>
      </w:r>
      <w:r>
        <w:rPr>
          <w:color w:val="000000"/>
        </w:rPr>
        <w:t xml:space="preserve">and review </w:t>
      </w:r>
      <w:r w:rsidRPr="00FA467F">
        <w:rPr>
          <w:color w:val="000000"/>
        </w:rPr>
        <w:t xml:space="preserve">processes </w:t>
      </w:r>
      <w:r>
        <w:rPr>
          <w:color w:val="000000"/>
        </w:rPr>
        <w:t xml:space="preserve">agreed and implemented </w:t>
      </w:r>
      <w:r w:rsidRPr="00FA467F">
        <w:rPr>
          <w:color w:val="000000"/>
        </w:rPr>
        <w:t>to enable the</w:t>
      </w:r>
      <w:r>
        <w:rPr>
          <w:color w:val="000000"/>
        </w:rPr>
        <w:t xml:space="preserve"> CSP</w:t>
      </w:r>
      <w:r w:rsidRPr="00FA467F">
        <w:rPr>
          <w:color w:val="000000"/>
        </w:rPr>
        <w:t xml:space="preserve"> to fulfil its objectives whilst maintaining its independence</w:t>
      </w:r>
      <w:r>
        <w:rPr>
          <w:color w:val="000000"/>
        </w:rPr>
        <w:t xml:space="preserve">. </w:t>
      </w:r>
      <w:r w:rsidRPr="00FA467F">
        <w:rPr>
          <w:color w:val="000000"/>
        </w:rPr>
        <w:t xml:space="preserve"> </w:t>
      </w:r>
      <w:r>
        <w:rPr>
          <w:color w:val="000000"/>
        </w:rPr>
        <w:t xml:space="preserve">This has enabled the CSP to achieve its objectives to; </w:t>
      </w:r>
    </w:p>
    <w:p w14:paraId="74698FA0" w14:textId="77777777" w:rsidR="00082D1E" w:rsidRPr="00E343D2" w:rsidRDefault="00082D1E" w:rsidP="00572D79">
      <w:pPr>
        <w:pStyle w:val="ListParagraph"/>
        <w:numPr>
          <w:ilvl w:val="0"/>
          <w:numId w:val="9"/>
        </w:numPr>
        <w:autoSpaceDE w:val="0"/>
        <w:autoSpaceDN w:val="0"/>
        <w:adjustRightInd w:val="0"/>
        <w:spacing w:before="0" w:after="0" w:line="240" w:lineRule="auto"/>
        <w:contextualSpacing/>
        <w:jc w:val="both"/>
        <w:rPr>
          <w:color w:val="000000"/>
          <w:sz w:val="24"/>
        </w:rPr>
      </w:pPr>
      <w:r w:rsidRPr="00E343D2">
        <w:rPr>
          <w:color w:val="000000"/>
          <w:sz w:val="24"/>
        </w:rPr>
        <w:t>Provide constructive feedback on the scope, quality and effectiveness of SESW’s customer engagement programme.</w:t>
      </w:r>
    </w:p>
    <w:p w14:paraId="10B7E0D1" w14:textId="77777777" w:rsidR="00082D1E" w:rsidRPr="00E343D2" w:rsidRDefault="00082D1E" w:rsidP="00572D79">
      <w:pPr>
        <w:pStyle w:val="ListParagraph"/>
        <w:numPr>
          <w:ilvl w:val="0"/>
          <w:numId w:val="9"/>
        </w:numPr>
        <w:autoSpaceDE w:val="0"/>
        <w:autoSpaceDN w:val="0"/>
        <w:adjustRightInd w:val="0"/>
        <w:spacing w:before="0" w:after="0" w:line="240" w:lineRule="auto"/>
        <w:contextualSpacing/>
        <w:jc w:val="both"/>
        <w:rPr>
          <w:color w:val="000000"/>
          <w:sz w:val="24"/>
        </w:rPr>
      </w:pPr>
      <w:r w:rsidRPr="00E343D2">
        <w:rPr>
          <w:color w:val="000000"/>
          <w:sz w:val="24"/>
        </w:rPr>
        <w:t>Ensure that the customer research and wider engagement was appropriately used to help shape the SESW Business Plan.</w:t>
      </w:r>
    </w:p>
    <w:p w14:paraId="793876C8" w14:textId="77777777" w:rsidR="00082D1E" w:rsidRPr="00E343D2" w:rsidRDefault="00082D1E" w:rsidP="00572D79">
      <w:pPr>
        <w:pStyle w:val="ListParagraph"/>
        <w:numPr>
          <w:ilvl w:val="0"/>
          <w:numId w:val="9"/>
        </w:numPr>
        <w:autoSpaceDE w:val="0"/>
        <w:autoSpaceDN w:val="0"/>
        <w:adjustRightInd w:val="0"/>
        <w:spacing w:before="0" w:after="0" w:line="240" w:lineRule="auto"/>
        <w:contextualSpacing/>
        <w:jc w:val="both"/>
        <w:rPr>
          <w:color w:val="000000"/>
          <w:sz w:val="24"/>
        </w:rPr>
      </w:pPr>
      <w:r w:rsidRPr="00E343D2">
        <w:rPr>
          <w:color w:val="000000"/>
          <w:sz w:val="24"/>
        </w:rPr>
        <w:t>Scrutinise the development and testing of the proposed Business Plan commitments in relation to their justification, acceptability and affordability for customers.</w:t>
      </w:r>
    </w:p>
    <w:p w14:paraId="40A22C61" w14:textId="3A8E732D" w:rsidR="00082D1E" w:rsidRPr="00E343D2" w:rsidRDefault="00082D1E" w:rsidP="00572D79">
      <w:pPr>
        <w:pStyle w:val="ListParagraph"/>
        <w:numPr>
          <w:ilvl w:val="0"/>
          <w:numId w:val="9"/>
        </w:numPr>
        <w:autoSpaceDE w:val="0"/>
        <w:autoSpaceDN w:val="0"/>
        <w:adjustRightInd w:val="0"/>
        <w:spacing w:before="0" w:after="0" w:line="240" w:lineRule="auto"/>
        <w:contextualSpacing/>
        <w:jc w:val="both"/>
        <w:rPr>
          <w:color w:val="000000"/>
          <w:sz w:val="24"/>
        </w:rPr>
      </w:pPr>
      <w:r w:rsidRPr="00E343D2">
        <w:rPr>
          <w:color w:val="000000"/>
          <w:sz w:val="24"/>
        </w:rPr>
        <w:t>Follow up with SESW on any perceived shortcomings in its engagement and planning activity.</w:t>
      </w:r>
    </w:p>
    <w:p w14:paraId="524EB665" w14:textId="05E55766" w:rsidR="00082D1E" w:rsidRDefault="00082D1E" w:rsidP="00572D79">
      <w:pPr>
        <w:autoSpaceDE w:val="0"/>
        <w:autoSpaceDN w:val="0"/>
        <w:adjustRightInd w:val="0"/>
        <w:jc w:val="both"/>
        <w:rPr>
          <w:color w:val="000000"/>
        </w:rPr>
      </w:pPr>
      <w:r w:rsidRPr="00FA467F">
        <w:rPr>
          <w:color w:val="000000"/>
        </w:rPr>
        <w:t xml:space="preserve">The </w:t>
      </w:r>
      <w:r>
        <w:rPr>
          <w:color w:val="000000"/>
        </w:rPr>
        <w:t xml:space="preserve">CSP can thus confirm that </w:t>
      </w:r>
      <w:r w:rsidRPr="00AE490E">
        <w:rPr>
          <w:color w:val="000000"/>
        </w:rPr>
        <w:t>SESW has co-operated fully with the CSP</w:t>
      </w:r>
      <w:r>
        <w:rPr>
          <w:color w:val="000000"/>
        </w:rPr>
        <w:t xml:space="preserve"> in </w:t>
      </w:r>
      <w:r w:rsidRPr="00AE490E">
        <w:rPr>
          <w:color w:val="000000"/>
        </w:rPr>
        <w:t>respond</w:t>
      </w:r>
      <w:r>
        <w:rPr>
          <w:color w:val="000000"/>
        </w:rPr>
        <w:t>ing</w:t>
      </w:r>
      <w:r w:rsidRPr="00AE490E">
        <w:rPr>
          <w:color w:val="000000"/>
        </w:rPr>
        <w:t xml:space="preserve"> positively and openly to its challenges and information requests.</w:t>
      </w:r>
      <w:r w:rsidRPr="00FA467F">
        <w:rPr>
          <w:color w:val="000000"/>
        </w:rPr>
        <w:t xml:space="preserve"> The </w:t>
      </w:r>
      <w:r>
        <w:rPr>
          <w:color w:val="000000"/>
        </w:rPr>
        <w:t>CSP</w:t>
      </w:r>
      <w:r w:rsidRPr="00FA467F">
        <w:rPr>
          <w:color w:val="000000"/>
        </w:rPr>
        <w:t xml:space="preserve"> has been given adequate and</w:t>
      </w:r>
      <w:r>
        <w:rPr>
          <w:color w:val="000000"/>
        </w:rPr>
        <w:t xml:space="preserve"> </w:t>
      </w:r>
      <w:r w:rsidRPr="00FA467F">
        <w:rPr>
          <w:color w:val="000000"/>
        </w:rPr>
        <w:t xml:space="preserve">appropriate access to </w:t>
      </w:r>
      <w:r>
        <w:rPr>
          <w:color w:val="000000"/>
        </w:rPr>
        <w:t>company</w:t>
      </w:r>
      <w:r w:rsidRPr="00FA467F">
        <w:rPr>
          <w:color w:val="000000"/>
        </w:rPr>
        <w:t xml:space="preserve"> information and personnel i</w:t>
      </w:r>
      <w:r>
        <w:rPr>
          <w:color w:val="000000"/>
        </w:rPr>
        <w:t xml:space="preserve">n order to carry out its work in line with Ofwat’s guidance and </w:t>
      </w:r>
      <w:r w:rsidRPr="00FA467F">
        <w:rPr>
          <w:color w:val="000000"/>
        </w:rPr>
        <w:t>objectives</w:t>
      </w:r>
      <w:r>
        <w:rPr>
          <w:color w:val="000000"/>
        </w:rPr>
        <w:t xml:space="preserve">, although because a significant amount of the Business Plan material was provided </w:t>
      </w:r>
      <w:r>
        <w:rPr>
          <w:color w:val="000000"/>
        </w:rPr>
        <w:lastRenderedPageBreak/>
        <w:t xml:space="preserve">late in the process, this limited the CSP’s ability to fully and effectively discuss and challenge all content. The CSP has also had contact, as appropriate, with members of the Board, including private meetings with NED’s. </w:t>
      </w:r>
    </w:p>
    <w:p w14:paraId="2209C324" w14:textId="4A56938F" w:rsidR="00082D1E" w:rsidRPr="00082D1E" w:rsidRDefault="00082D1E" w:rsidP="00572D79">
      <w:pPr>
        <w:autoSpaceDE w:val="0"/>
        <w:autoSpaceDN w:val="0"/>
        <w:adjustRightInd w:val="0"/>
        <w:jc w:val="both"/>
        <w:rPr>
          <w:color w:val="000000"/>
        </w:rPr>
      </w:pPr>
      <w:r w:rsidRPr="00A54F08">
        <w:rPr>
          <w:color w:val="000000"/>
        </w:rPr>
        <w:t>SES</w:t>
      </w:r>
      <w:r>
        <w:rPr>
          <w:color w:val="000000"/>
        </w:rPr>
        <w:t>W</w:t>
      </w:r>
      <w:r w:rsidRPr="00A54F08">
        <w:rPr>
          <w:color w:val="000000"/>
        </w:rPr>
        <w:t xml:space="preserve"> has welcomed and acted on the advice and input of the CSP, and agreed, where appropriate, amendments to its plans. This includes changes to the customer research approach, outcomes and measures of success</w:t>
      </w:r>
      <w:r>
        <w:rPr>
          <w:color w:val="000000"/>
        </w:rPr>
        <w:t>,</w:t>
      </w:r>
      <w:r w:rsidRPr="00A54F08">
        <w:rPr>
          <w:color w:val="000000"/>
        </w:rPr>
        <w:t xml:space="preserve"> improvements to the clarity of the </w:t>
      </w:r>
      <w:r>
        <w:rPr>
          <w:color w:val="000000"/>
        </w:rPr>
        <w:t>company</w:t>
      </w:r>
      <w:r w:rsidRPr="00A54F08">
        <w:rPr>
          <w:color w:val="000000"/>
        </w:rPr>
        <w:t>’s communication with its customers</w:t>
      </w:r>
      <w:r>
        <w:rPr>
          <w:color w:val="000000"/>
        </w:rPr>
        <w:t>, as well as updates to the final Business Plan</w:t>
      </w:r>
      <w:r w:rsidRPr="00A54F08">
        <w:rPr>
          <w:color w:val="000000"/>
        </w:rPr>
        <w:t>.</w:t>
      </w:r>
    </w:p>
    <w:p w14:paraId="6B8FFE03" w14:textId="77777777" w:rsidR="00082D1E" w:rsidRPr="00FC1999" w:rsidRDefault="00082D1E" w:rsidP="00572D79">
      <w:pPr>
        <w:pStyle w:val="Heading2"/>
        <w:numPr>
          <w:ilvl w:val="1"/>
          <w:numId w:val="13"/>
        </w:numPr>
        <w:spacing w:before="40" w:after="160" w:line="240" w:lineRule="auto"/>
        <w:ind w:left="431" w:hanging="431"/>
        <w:jc w:val="both"/>
        <w:rPr>
          <w:sz w:val="28"/>
          <w:szCs w:val="28"/>
        </w:rPr>
      </w:pPr>
      <w:bookmarkStart w:id="26" w:name="_Toc522210816"/>
      <w:bookmarkStart w:id="27" w:name="_Toc523481607"/>
      <w:r w:rsidRPr="00FC1999">
        <w:rPr>
          <w:sz w:val="28"/>
          <w:szCs w:val="28"/>
        </w:rPr>
        <w:t xml:space="preserve">CSP </w:t>
      </w:r>
      <w:r>
        <w:rPr>
          <w:sz w:val="28"/>
          <w:szCs w:val="28"/>
        </w:rPr>
        <w:t>assurance statement</w:t>
      </w:r>
      <w:r w:rsidRPr="00FC1999">
        <w:rPr>
          <w:sz w:val="28"/>
          <w:szCs w:val="28"/>
        </w:rPr>
        <w:t xml:space="preserve"> to Ofwat</w:t>
      </w:r>
      <w:bookmarkEnd w:id="26"/>
      <w:bookmarkEnd w:id="27"/>
    </w:p>
    <w:p w14:paraId="79B93060" w14:textId="7667B4EE" w:rsidR="00082D1E" w:rsidRPr="00082D1E" w:rsidRDefault="00082D1E" w:rsidP="00572D79">
      <w:pPr>
        <w:autoSpaceDE w:val="0"/>
        <w:autoSpaceDN w:val="0"/>
        <w:adjustRightInd w:val="0"/>
        <w:jc w:val="both"/>
        <w:rPr>
          <w:color w:val="000000" w:themeColor="text1"/>
        </w:rPr>
      </w:pPr>
      <w:r w:rsidRPr="00D76A9B">
        <w:rPr>
          <w:color w:val="000000" w:themeColor="text1"/>
        </w:rPr>
        <w:t xml:space="preserve">As a result of the detailed review, challenges and follow up undertaken by the CSP, </w:t>
      </w:r>
      <w:r>
        <w:rPr>
          <w:color w:val="000000" w:themeColor="text1"/>
        </w:rPr>
        <w:t>we consider</w:t>
      </w:r>
      <w:r w:rsidRPr="00D76A9B">
        <w:rPr>
          <w:color w:val="000000" w:themeColor="text1"/>
        </w:rPr>
        <w:t xml:space="preserve"> that SESW has struck a reasonable balance between meeting the </w:t>
      </w:r>
      <w:r>
        <w:rPr>
          <w:color w:val="000000" w:themeColor="text1"/>
        </w:rPr>
        <w:t>company</w:t>
      </w:r>
      <w:r w:rsidRPr="00D76A9B">
        <w:rPr>
          <w:color w:val="000000" w:themeColor="text1"/>
        </w:rPr>
        <w:t>’s statutory obligations, maintaining cu</w:t>
      </w:r>
      <w:r>
        <w:rPr>
          <w:color w:val="000000" w:themeColor="text1"/>
        </w:rPr>
        <w:t xml:space="preserve">rrent performance and accounting for customer feedback on </w:t>
      </w:r>
      <w:r w:rsidRPr="00D76A9B">
        <w:rPr>
          <w:color w:val="000000" w:themeColor="text1"/>
        </w:rPr>
        <w:t xml:space="preserve">affordability and </w:t>
      </w:r>
      <w:r>
        <w:rPr>
          <w:color w:val="000000" w:themeColor="text1"/>
        </w:rPr>
        <w:t xml:space="preserve">perceptions of value for money. </w:t>
      </w:r>
      <w:r w:rsidRPr="00D76A9B">
        <w:rPr>
          <w:bCs/>
          <w:color w:val="000000" w:themeColor="text1"/>
        </w:rPr>
        <w:t>Notwithstanding that there</w:t>
      </w:r>
      <w:r>
        <w:rPr>
          <w:bCs/>
          <w:color w:val="000000" w:themeColor="text1"/>
        </w:rPr>
        <w:t xml:space="preserve"> are some outstanding points of note</w:t>
      </w:r>
      <w:r w:rsidRPr="00D76A9B">
        <w:rPr>
          <w:bCs/>
          <w:color w:val="000000" w:themeColor="text1"/>
        </w:rPr>
        <w:t xml:space="preserve">, </w:t>
      </w:r>
      <w:r>
        <w:rPr>
          <w:bCs/>
          <w:color w:val="000000" w:themeColor="text1"/>
        </w:rPr>
        <w:t xml:space="preserve">as summarised below, </w:t>
      </w:r>
      <w:r w:rsidRPr="00BE1371">
        <w:rPr>
          <w:b/>
          <w:bCs/>
          <w:color w:val="000000" w:themeColor="text1"/>
        </w:rPr>
        <w:t>the CSP is able to confirm to Ofwat that as a result of this process, it can provide positive assurance</w:t>
      </w:r>
      <w:r>
        <w:rPr>
          <w:bCs/>
          <w:color w:val="000000" w:themeColor="text1"/>
        </w:rPr>
        <w:t xml:space="preserve"> that</w:t>
      </w:r>
      <w:r w:rsidRPr="00D76A9B">
        <w:rPr>
          <w:bCs/>
          <w:color w:val="000000" w:themeColor="text1"/>
        </w:rPr>
        <w:t>:</w:t>
      </w:r>
    </w:p>
    <w:p w14:paraId="5081CBBC" w14:textId="77777777" w:rsidR="00082D1E" w:rsidRPr="00DD114B" w:rsidRDefault="00082D1E" w:rsidP="00572D79">
      <w:pPr>
        <w:autoSpaceDE w:val="0"/>
        <w:autoSpaceDN w:val="0"/>
        <w:adjustRightInd w:val="0"/>
        <w:jc w:val="both"/>
        <w:rPr>
          <w:b/>
          <w:color w:val="000000"/>
          <w:u w:val="single"/>
        </w:rPr>
      </w:pPr>
      <w:r w:rsidRPr="00DD114B">
        <w:rPr>
          <w:b/>
          <w:color w:val="000000"/>
          <w:u w:val="single"/>
        </w:rPr>
        <w:t>In relation to the quality of the company’s customer engagement</w:t>
      </w:r>
    </w:p>
    <w:p w14:paraId="1E71C4B0"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bCs/>
          <w:color w:val="000000" w:themeColor="text1"/>
          <w:sz w:val="24"/>
        </w:rPr>
      </w:pPr>
      <w:r w:rsidRPr="00E343D2">
        <w:rPr>
          <w:b/>
          <w:bCs/>
          <w:color w:val="000000" w:themeColor="text1"/>
          <w:sz w:val="24"/>
        </w:rPr>
        <w:t xml:space="preserve">The customer engagement and research employed by the company was appropriate and was conducted by specialist accredited market research providers; it was subject to CSP and third party review and followed good industry practice. </w:t>
      </w:r>
      <w:r w:rsidRPr="00E343D2">
        <w:rPr>
          <w:bCs/>
          <w:color w:val="000000" w:themeColor="text1"/>
          <w:sz w:val="24"/>
        </w:rPr>
        <w:t>(See Sections 2, 3.2)</w:t>
      </w:r>
    </w:p>
    <w:p w14:paraId="6A29B102" w14:textId="2D8EC6A4"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bCs/>
          <w:color w:val="000000" w:themeColor="text1"/>
          <w:sz w:val="24"/>
        </w:rPr>
      </w:pPr>
      <w:r w:rsidRPr="00E343D2">
        <w:rPr>
          <w:b/>
          <w:bCs/>
          <w:color w:val="000000" w:themeColor="text1"/>
          <w:sz w:val="24"/>
        </w:rPr>
        <w:t xml:space="preserve">SESW’s engagement provided a genuine understanding of customer priorities, and presented an appropriate range of service options which were effectively tested for acceptability and affordability. </w:t>
      </w:r>
      <w:r w:rsidRPr="00E343D2">
        <w:rPr>
          <w:bCs/>
          <w:color w:val="000000" w:themeColor="text1"/>
          <w:sz w:val="24"/>
        </w:rPr>
        <w:t>(See sections 3.2, 3.6, 3.7)</w:t>
      </w:r>
    </w:p>
    <w:p w14:paraId="5C788C11" w14:textId="77777777" w:rsidR="00082D1E" w:rsidRPr="00E343D2" w:rsidRDefault="00082D1E" w:rsidP="00572D79">
      <w:pPr>
        <w:autoSpaceDE w:val="0"/>
        <w:autoSpaceDN w:val="0"/>
        <w:adjustRightInd w:val="0"/>
        <w:jc w:val="both"/>
        <w:rPr>
          <w:b/>
          <w:color w:val="000000"/>
          <w:u w:val="single"/>
        </w:rPr>
      </w:pPr>
      <w:r w:rsidRPr="00E343D2">
        <w:rPr>
          <w:b/>
          <w:color w:val="000000"/>
          <w:u w:val="single"/>
        </w:rPr>
        <w:t>In relation to the extent to which the results of this engagement are driving the company’s decision making and being reflected in the company’s Business Plan.</w:t>
      </w:r>
    </w:p>
    <w:p w14:paraId="17A24910"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iCs/>
          <w:color w:val="000000" w:themeColor="text1"/>
          <w:sz w:val="24"/>
        </w:rPr>
      </w:pPr>
      <w:r w:rsidRPr="00E343D2">
        <w:rPr>
          <w:b/>
          <w:bCs/>
          <w:color w:val="000000" w:themeColor="text1"/>
          <w:sz w:val="24"/>
        </w:rPr>
        <w:t xml:space="preserve">SESW’s 2020-2025 Business Plan and its resulting impact on bills appropriately incorporates the views of its customers. </w:t>
      </w:r>
      <w:r w:rsidRPr="00E343D2">
        <w:rPr>
          <w:iCs/>
          <w:color w:val="000000" w:themeColor="text1"/>
          <w:sz w:val="24"/>
        </w:rPr>
        <w:t>(See Sections 3.2, 3.6)</w:t>
      </w:r>
    </w:p>
    <w:p w14:paraId="47D998F8"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bCs/>
          <w:color w:val="000000" w:themeColor="text1"/>
          <w:sz w:val="24"/>
        </w:rPr>
      </w:pPr>
      <w:r w:rsidRPr="00E343D2">
        <w:rPr>
          <w:b/>
          <w:bCs/>
          <w:color w:val="000000" w:themeColor="text1"/>
          <w:sz w:val="24"/>
        </w:rPr>
        <w:t xml:space="preserve">The Plan is focused on a series of outcomes that reflect a sound understanding and reasonable balance of different customer and stakeholder views and priorities as evidenced by its research, and engagement. </w:t>
      </w:r>
      <w:r w:rsidRPr="00E343D2">
        <w:rPr>
          <w:iCs/>
          <w:color w:val="000000" w:themeColor="text1"/>
          <w:sz w:val="24"/>
        </w:rPr>
        <w:t>(See Sections 3.2, 3.7)</w:t>
      </w:r>
    </w:p>
    <w:p w14:paraId="01CE37BE"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iCs/>
          <w:color w:val="000000" w:themeColor="text1"/>
          <w:sz w:val="24"/>
        </w:rPr>
      </w:pPr>
      <w:r w:rsidRPr="00E343D2">
        <w:rPr>
          <w:b/>
          <w:bCs/>
          <w:color w:val="000000" w:themeColor="text1"/>
          <w:sz w:val="24"/>
        </w:rPr>
        <w:t xml:space="preserve">In the opinion of the CSP, SESW has, in its Business Plan, endeavoured to meet statutory obligations, improve levels of service and account for </w:t>
      </w:r>
      <w:r w:rsidRPr="00E343D2">
        <w:rPr>
          <w:b/>
          <w:bCs/>
          <w:color w:val="000000" w:themeColor="text1"/>
          <w:sz w:val="24"/>
        </w:rPr>
        <w:lastRenderedPageBreak/>
        <w:t xml:space="preserve">customer feedback on affordability and value for money. </w:t>
      </w:r>
      <w:r w:rsidRPr="00E343D2">
        <w:rPr>
          <w:iCs/>
          <w:color w:val="000000" w:themeColor="text1"/>
          <w:sz w:val="24"/>
        </w:rPr>
        <w:t>(See Sections 3.3,3.6)</w:t>
      </w:r>
    </w:p>
    <w:p w14:paraId="5F3D18BD"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iCs/>
          <w:color w:val="000000" w:themeColor="text1"/>
          <w:sz w:val="24"/>
        </w:rPr>
      </w:pPr>
      <w:r w:rsidRPr="00E343D2">
        <w:rPr>
          <w:b/>
          <w:bCs/>
          <w:color w:val="000000" w:themeColor="text1"/>
          <w:sz w:val="24"/>
        </w:rPr>
        <w:t xml:space="preserve">SESW is proposing additional measures to assist those customers who are struggling to afford their bills, through the evolution of its social tariff. </w:t>
      </w:r>
      <w:r w:rsidRPr="00E343D2">
        <w:rPr>
          <w:iCs/>
          <w:color w:val="000000" w:themeColor="text1"/>
          <w:sz w:val="24"/>
        </w:rPr>
        <w:t>(See Section 3.3.2)</w:t>
      </w:r>
    </w:p>
    <w:p w14:paraId="45EAE4A7"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iCs/>
          <w:color w:val="000000" w:themeColor="text1"/>
          <w:sz w:val="24"/>
        </w:rPr>
      </w:pPr>
      <w:r w:rsidRPr="00E343D2">
        <w:rPr>
          <w:b/>
          <w:bCs/>
          <w:color w:val="000000" w:themeColor="text1"/>
          <w:sz w:val="24"/>
        </w:rPr>
        <w:t xml:space="preserve">SESW is proposing to use a reasonable set of measures to monitor progress against its stated outcomes. </w:t>
      </w:r>
      <w:r w:rsidRPr="00E343D2">
        <w:rPr>
          <w:iCs/>
          <w:color w:val="000000" w:themeColor="text1"/>
          <w:sz w:val="24"/>
        </w:rPr>
        <w:t>(See Section 3.7)</w:t>
      </w:r>
    </w:p>
    <w:p w14:paraId="0173C175" w14:textId="10526936" w:rsidR="00082D1E" w:rsidRPr="00E343D2" w:rsidRDefault="00082D1E" w:rsidP="00572D79">
      <w:pPr>
        <w:pStyle w:val="ListParagraph"/>
        <w:numPr>
          <w:ilvl w:val="0"/>
          <w:numId w:val="7"/>
        </w:numPr>
        <w:autoSpaceDE w:val="0"/>
        <w:autoSpaceDN w:val="0"/>
        <w:adjustRightInd w:val="0"/>
        <w:spacing w:before="0" w:after="0" w:line="240" w:lineRule="auto"/>
        <w:ind w:left="426"/>
        <w:contextualSpacing/>
        <w:jc w:val="both"/>
        <w:rPr>
          <w:b/>
          <w:iCs/>
          <w:color w:val="000000" w:themeColor="text1"/>
          <w:sz w:val="24"/>
        </w:rPr>
      </w:pPr>
      <w:r w:rsidRPr="00E343D2">
        <w:rPr>
          <w:b/>
          <w:bCs/>
          <w:color w:val="000000" w:themeColor="text1"/>
          <w:sz w:val="24"/>
        </w:rPr>
        <w:t xml:space="preserve">SESW’s Plan includes a clearly defined set of incentives, rewards and penalties. </w:t>
      </w:r>
      <w:r w:rsidRPr="00E343D2">
        <w:rPr>
          <w:iCs/>
          <w:color w:val="000000" w:themeColor="text1"/>
          <w:sz w:val="24"/>
        </w:rPr>
        <w:t>(See Section 3.7)</w:t>
      </w:r>
    </w:p>
    <w:p w14:paraId="50D14EF0" w14:textId="77777777" w:rsidR="00082D1E" w:rsidRPr="00DD114B" w:rsidRDefault="00082D1E" w:rsidP="00572D79">
      <w:pPr>
        <w:autoSpaceDE w:val="0"/>
        <w:autoSpaceDN w:val="0"/>
        <w:adjustRightInd w:val="0"/>
        <w:jc w:val="both"/>
        <w:rPr>
          <w:b/>
          <w:bCs/>
          <w:u w:val="single"/>
        </w:rPr>
      </w:pPr>
      <w:r w:rsidRPr="00E343D2">
        <w:rPr>
          <w:b/>
          <w:bCs/>
          <w:u w:val="single"/>
        </w:rPr>
        <w:t>In relation to securing confidence and assurance</w:t>
      </w:r>
      <w:r w:rsidRPr="00DD114B">
        <w:rPr>
          <w:b/>
          <w:bCs/>
          <w:u w:val="single"/>
        </w:rPr>
        <w:t>;</w:t>
      </w:r>
    </w:p>
    <w:p w14:paraId="08CE3831" w14:textId="77777777" w:rsidR="00082D1E" w:rsidRPr="00E343D2" w:rsidRDefault="00082D1E" w:rsidP="00572D79">
      <w:pPr>
        <w:pStyle w:val="ListParagraph"/>
        <w:numPr>
          <w:ilvl w:val="0"/>
          <w:numId w:val="7"/>
        </w:numPr>
        <w:autoSpaceDE w:val="0"/>
        <w:autoSpaceDN w:val="0"/>
        <w:adjustRightInd w:val="0"/>
        <w:spacing w:before="0" w:after="0" w:line="240" w:lineRule="auto"/>
        <w:ind w:left="426" w:hanging="349"/>
        <w:contextualSpacing/>
        <w:jc w:val="both"/>
        <w:rPr>
          <w:b/>
          <w:iCs/>
          <w:color w:val="000000" w:themeColor="text1"/>
          <w:sz w:val="24"/>
        </w:rPr>
      </w:pPr>
      <w:r w:rsidRPr="00E343D2">
        <w:rPr>
          <w:b/>
          <w:bCs/>
          <w:color w:val="000000" w:themeColor="text1"/>
          <w:sz w:val="24"/>
        </w:rPr>
        <w:t xml:space="preserve">The CSP has had assurance from the SESW non-Executive Directors that the Board has approved a Business Plan that is high quality and deliverable, and that they have challenged management to ensure this is the case. </w:t>
      </w:r>
      <w:r w:rsidRPr="00E343D2">
        <w:rPr>
          <w:iCs/>
          <w:color w:val="000000" w:themeColor="text1"/>
          <w:sz w:val="24"/>
        </w:rPr>
        <w:t>(See Section 3.8)</w:t>
      </w:r>
    </w:p>
    <w:p w14:paraId="6A4E5710" w14:textId="77777777" w:rsidR="00082D1E" w:rsidRPr="00E343D2" w:rsidRDefault="00082D1E" w:rsidP="00572D79">
      <w:pPr>
        <w:pStyle w:val="ListParagraph"/>
        <w:numPr>
          <w:ilvl w:val="0"/>
          <w:numId w:val="7"/>
        </w:numPr>
        <w:spacing w:before="0" w:after="0" w:line="240" w:lineRule="auto"/>
        <w:ind w:left="426" w:hanging="349"/>
        <w:contextualSpacing/>
        <w:jc w:val="both"/>
        <w:rPr>
          <w:b/>
          <w:bCs/>
          <w:color w:val="000000" w:themeColor="text1"/>
          <w:sz w:val="24"/>
        </w:rPr>
      </w:pPr>
      <w:r w:rsidRPr="00E343D2">
        <w:rPr>
          <w:b/>
          <w:bCs/>
          <w:color w:val="000000" w:themeColor="text1"/>
          <w:sz w:val="24"/>
        </w:rPr>
        <w:t>SESW has ensured that the Business Plan, and before that the draft Business Plan consultation document, underwent full independent assurance; and has shared the assurance statements with the CSP.</w:t>
      </w:r>
    </w:p>
    <w:p w14:paraId="5A6EE18B" w14:textId="77777777" w:rsidR="00082D1E" w:rsidRPr="00E343D2" w:rsidRDefault="00082D1E" w:rsidP="00572D79">
      <w:pPr>
        <w:pStyle w:val="ListParagraph"/>
        <w:numPr>
          <w:ilvl w:val="0"/>
          <w:numId w:val="7"/>
        </w:numPr>
        <w:spacing w:before="0" w:after="0" w:line="240" w:lineRule="auto"/>
        <w:ind w:left="426" w:hanging="349"/>
        <w:contextualSpacing/>
        <w:jc w:val="both"/>
        <w:rPr>
          <w:b/>
          <w:bCs/>
          <w:color w:val="000000" w:themeColor="text1"/>
          <w:sz w:val="24"/>
        </w:rPr>
      </w:pPr>
      <w:r w:rsidRPr="00E343D2">
        <w:rPr>
          <w:b/>
          <w:bCs/>
          <w:color w:val="000000" w:themeColor="text1"/>
          <w:sz w:val="24"/>
        </w:rPr>
        <w:t xml:space="preserve">The bespoke research was carried out in partnership with specialist accredited market research providers, who went through a rigorous tender process. </w:t>
      </w:r>
    </w:p>
    <w:p w14:paraId="6ACF7E71" w14:textId="77777777" w:rsidR="00082D1E" w:rsidRPr="00E343D2" w:rsidRDefault="00082D1E" w:rsidP="00572D79">
      <w:pPr>
        <w:pStyle w:val="ListParagraph"/>
        <w:numPr>
          <w:ilvl w:val="0"/>
          <w:numId w:val="7"/>
        </w:numPr>
        <w:spacing w:before="0" w:after="0" w:line="240" w:lineRule="auto"/>
        <w:ind w:left="426" w:hanging="349"/>
        <w:contextualSpacing/>
        <w:jc w:val="both"/>
        <w:rPr>
          <w:b/>
          <w:bCs/>
          <w:color w:val="000000" w:themeColor="text1"/>
          <w:sz w:val="24"/>
        </w:rPr>
      </w:pPr>
      <w:r w:rsidRPr="00E343D2">
        <w:rPr>
          <w:b/>
          <w:bCs/>
          <w:color w:val="000000" w:themeColor="text1"/>
          <w:sz w:val="24"/>
        </w:rPr>
        <w:t xml:space="preserve">The CSP received independent advice and opinion from its technical adviser (Atkins) on aspects of SESW’s engagement conclusions and Business Plan </w:t>
      </w:r>
      <w:r w:rsidRPr="00E343D2">
        <w:rPr>
          <w:b/>
          <w:sz w:val="24"/>
        </w:rPr>
        <w:t>in terms of good practice, industry norms and interpretations of Ofwat guidance, coherence and clarity of purpose;</w:t>
      </w:r>
      <w:r w:rsidRPr="00E343D2">
        <w:rPr>
          <w:b/>
          <w:bCs/>
          <w:color w:val="000000" w:themeColor="text1"/>
          <w:sz w:val="24"/>
        </w:rPr>
        <w:t xml:space="preserve"> and particularly regarding performance commitments and willingness-to-pay. </w:t>
      </w:r>
    </w:p>
    <w:p w14:paraId="703BCB97" w14:textId="5048EFDC" w:rsidR="00082D1E" w:rsidRPr="00E343D2" w:rsidRDefault="00082D1E" w:rsidP="00572D79">
      <w:pPr>
        <w:pStyle w:val="ListParagraph"/>
        <w:numPr>
          <w:ilvl w:val="0"/>
          <w:numId w:val="7"/>
        </w:numPr>
        <w:spacing w:before="0" w:after="0" w:line="240" w:lineRule="auto"/>
        <w:ind w:left="426" w:hanging="349"/>
        <w:contextualSpacing/>
        <w:jc w:val="both"/>
        <w:rPr>
          <w:b/>
          <w:bCs/>
          <w:color w:val="000000" w:themeColor="text1"/>
          <w:sz w:val="24"/>
        </w:rPr>
      </w:pPr>
      <w:r w:rsidRPr="00E343D2">
        <w:rPr>
          <w:b/>
          <w:bCs/>
          <w:color w:val="000000" w:themeColor="text1"/>
          <w:sz w:val="24"/>
        </w:rPr>
        <w:t xml:space="preserve">The CSP received assurance from DWI and EA that they had </w:t>
      </w:r>
      <w:r w:rsidRPr="00E343D2">
        <w:rPr>
          <w:b/>
          <w:color w:val="000000" w:themeColor="text1"/>
          <w:sz w:val="24"/>
        </w:rPr>
        <w:t xml:space="preserve">no specific concerns to report about the company’s obligations. </w:t>
      </w:r>
      <w:r w:rsidRPr="00E343D2">
        <w:rPr>
          <w:i/>
          <w:color w:val="000000" w:themeColor="text1"/>
          <w:sz w:val="24"/>
        </w:rPr>
        <w:t>(See Section 3.7.2</w:t>
      </w:r>
      <w:r w:rsidRPr="00E343D2">
        <w:rPr>
          <w:color w:val="000000" w:themeColor="text1"/>
          <w:sz w:val="24"/>
        </w:rPr>
        <w:t>).</w:t>
      </w:r>
    </w:p>
    <w:p w14:paraId="40FE47DB" w14:textId="77777777" w:rsidR="00082D1E" w:rsidRPr="007A4C0A" w:rsidRDefault="00082D1E" w:rsidP="00572D79">
      <w:pPr>
        <w:autoSpaceDE w:val="0"/>
        <w:autoSpaceDN w:val="0"/>
        <w:adjustRightInd w:val="0"/>
        <w:jc w:val="both"/>
        <w:rPr>
          <w:color w:val="000000" w:themeColor="text1"/>
        </w:rPr>
      </w:pPr>
      <w:r w:rsidRPr="007A4C0A">
        <w:rPr>
          <w:color w:val="000000" w:themeColor="text1"/>
        </w:rPr>
        <w:t xml:space="preserve">In forming these conclusions the CSP has focused its attention on responding to the various questions defined by Ofwat in the </w:t>
      </w:r>
      <w:r w:rsidRPr="007A4C0A">
        <w:rPr>
          <w:i/>
          <w:color w:val="000000" w:themeColor="text1"/>
        </w:rPr>
        <w:t>Aide memoire for Customer Challenge Groups</w:t>
      </w:r>
      <w:r w:rsidRPr="007A4C0A">
        <w:rPr>
          <w:color w:val="000000" w:themeColor="text1"/>
          <w:vertAlign w:val="superscript"/>
        </w:rPr>
        <w:t>1</w:t>
      </w:r>
      <w:r w:rsidRPr="007A4C0A">
        <w:rPr>
          <w:color w:val="000000" w:themeColor="text1"/>
        </w:rPr>
        <w:t xml:space="preserve">, </w:t>
      </w:r>
      <w:r w:rsidRPr="007A4C0A">
        <w:t>the “Customer Engagement Policy”</w:t>
      </w:r>
      <w:r w:rsidRPr="007A4C0A">
        <w:rPr>
          <w:rStyle w:val="FootnoteReference"/>
        </w:rPr>
        <w:footnoteReference w:id="3"/>
      </w:r>
      <w:r w:rsidRPr="007A4C0A">
        <w:rPr>
          <w:rStyle w:val="Hyperlink"/>
          <w:rFonts w:asciiTheme="minorHAnsi" w:hAnsiTheme="minorHAnsi" w:cstheme="minorHAnsi"/>
          <w:u w:val="none"/>
        </w:rPr>
        <w:t>,</w:t>
      </w:r>
      <w:r w:rsidRPr="007A4C0A">
        <w:rPr>
          <w:rStyle w:val="Hyperlink"/>
          <w:color w:val="000000" w:themeColor="text1"/>
          <w:u w:val="none"/>
        </w:rPr>
        <w:t xml:space="preserve"> and the “Final Methodology”</w:t>
      </w:r>
      <w:r w:rsidRPr="007A4C0A">
        <w:rPr>
          <w:rStyle w:val="FootnoteReference"/>
          <w:color w:val="000000" w:themeColor="text1"/>
        </w:rPr>
        <w:footnoteReference w:id="4"/>
      </w:r>
      <w:r w:rsidRPr="007A4C0A">
        <w:t>.</w:t>
      </w:r>
      <w:r w:rsidRPr="007A4C0A">
        <w:rPr>
          <w:rFonts w:asciiTheme="minorHAnsi" w:hAnsiTheme="minorHAnsi" w:cstheme="minorHAnsi"/>
        </w:rPr>
        <w:t xml:space="preserve"> </w:t>
      </w:r>
      <w:r w:rsidRPr="007A4C0A">
        <w:rPr>
          <w:rStyle w:val="Hyperlink"/>
          <w:color w:val="000000" w:themeColor="text1"/>
          <w:u w:val="none"/>
        </w:rPr>
        <w:t xml:space="preserve"> Table 3.2.3i plus sections 3.2-3.8 of this report include the CSP </w:t>
      </w:r>
      <w:r w:rsidRPr="007A4C0A">
        <w:rPr>
          <w:color w:val="000000" w:themeColor="text1"/>
        </w:rPr>
        <w:t>view, and supporting evidence, of SESW’s conformance in respect of the appropriate Ofwat questions relative to that</w:t>
      </w:r>
      <w:r w:rsidRPr="007A4C0A">
        <w:rPr>
          <w:rStyle w:val="Hyperlink"/>
          <w:color w:val="000000" w:themeColor="text1"/>
          <w:u w:val="none"/>
        </w:rPr>
        <w:t xml:space="preserve"> section. A summary of the key points, and evidence, that support the </w:t>
      </w:r>
      <w:r w:rsidRPr="007A4C0A">
        <w:rPr>
          <w:rStyle w:val="Hyperlink"/>
          <w:color w:val="000000" w:themeColor="text1"/>
          <w:u w:val="none"/>
        </w:rPr>
        <w:lastRenderedPageBreak/>
        <w:t>above CSP conclusions is provided below, including also the key outstanding challenges and points of note.</w:t>
      </w:r>
    </w:p>
    <w:p w14:paraId="76177AE4" w14:textId="77777777" w:rsidR="00082D1E" w:rsidRPr="00A805C6" w:rsidRDefault="00082D1E" w:rsidP="00572D79">
      <w:pPr>
        <w:autoSpaceDE w:val="0"/>
        <w:autoSpaceDN w:val="0"/>
        <w:adjustRightInd w:val="0"/>
        <w:jc w:val="both"/>
        <w:rPr>
          <w:b/>
          <w:color w:val="0070C0"/>
        </w:rPr>
      </w:pPr>
      <w:r>
        <w:rPr>
          <w:b/>
          <w:color w:val="0070C0"/>
        </w:rPr>
        <w:t>Summary of key points and evidence supporting the CSP conclusions</w:t>
      </w:r>
    </w:p>
    <w:p w14:paraId="7DD270F7" w14:textId="77777777" w:rsidR="00082D1E" w:rsidRPr="00BE1371" w:rsidRDefault="00082D1E" w:rsidP="00572D79">
      <w:pPr>
        <w:autoSpaceDE w:val="0"/>
        <w:autoSpaceDN w:val="0"/>
        <w:adjustRightInd w:val="0"/>
        <w:spacing w:before="0" w:after="0"/>
        <w:jc w:val="both"/>
        <w:rPr>
          <w:b/>
          <w:color w:val="0070C0"/>
          <w:u w:val="single"/>
        </w:rPr>
      </w:pPr>
      <w:r w:rsidRPr="00BE1371">
        <w:rPr>
          <w:color w:val="000000" w:themeColor="text1"/>
          <w:u w:val="single"/>
        </w:rPr>
        <w:t>Quality of Engagement</w:t>
      </w:r>
    </w:p>
    <w:p w14:paraId="0D44A267" w14:textId="77777777" w:rsidR="00082D1E" w:rsidRPr="00E343D2" w:rsidRDefault="00082D1E" w:rsidP="00572D79">
      <w:pPr>
        <w:pStyle w:val="ListParagraph"/>
        <w:numPr>
          <w:ilvl w:val="0"/>
          <w:numId w:val="8"/>
        </w:numPr>
        <w:spacing w:before="0" w:after="0" w:line="240" w:lineRule="auto"/>
        <w:ind w:left="426"/>
        <w:contextualSpacing/>
        <w:jc w:val="both"/>
        <w:rPr>
          <w:sz w:val="24"/>
        </w:rPr>
      </w:pPr>
      <w:r w:rsidRPr="00E343D2">
        <w:rPr>
          <w:color w:val="000000"/>
          <w:sz w:val="24"/>
        </w:rPr>
        <w:t xml:space="preserve">High level of SESW engagement with the CSP (at senior management and Board level), and responsiveness to CSP challenges and information requests. SESW MD, Executive Directors and senior managers attended CSP meetings; monthly review meetings of CSP chair with MD and PR19 managers; private meetings of the CSP with Board NEDs. </w:t>
      </w:r>
    </w:p>
    <w:p w14:paraId="1D1707D6" w14:textId="77777777" w:rsidR="00082D1E" w:rsidRPr="00E343D2" w:rsidRDefault="00082D1E" w:rsidP="00572D79">
      <w:pPr>
        <w:pStyle w:val="ListParagraph"/>
        <w:numPr>
          <w:ilvl w:val="0"/>
          <w:numId w:val="8"/>
        </w:numPr>
        <w:spacing w:before="0" w:after="0" w:line="240" w:lineRule="auto"/>
        <w:ind w:left="426"/>
        <w:contextualSpacing/>
        <w:jc w:val="both"/>
        <w:rPr>
          <w:sz w:val="24"/>
        </w:rPr>
      </w:pPr>
      <w:r w:rsidRPr="00E343D2">
        <w:rPr>
          <w:sz w:val="24"/>
        </w:rPr>
        <w:t>The Customer Engagement process was comprehensive and effective (ref Business Plan Chapter 1), and the CSP was involved at all stages (ref Appendix 3) e.g. reviewing proposals, draft content, attending focus groups and stakeholder events. Outputs were fed back to the CSP at each stage.</w:t>
      </w:r>
    </w:p>
    <w:p w14:paraId="17945BFC" w14:textId="77777777" w:rsidR="00082D1E" w:rsidRPr="00E343D2" w:rsidRDefault="00082D1E" w:rsidP="00572D79">
      <w:pPr>
        <w:pStyle w:val="ListParagraph"/>
        <w:numPr>
          <w:ilvl w:val="0"/>
          <w:numId w:val="8"/>
        </w:numPr>
        <w:spacing w:before="0" w:after="0" w:line="240" w:lineRule="auto"/>
        <w:ind w:left="426"/>
        <w:contextualSpacing/>
        <w:jc w:val="both"/>
        <w:rPr>
          <w:sz w:val="24"/>
        </w:rPr>
      </w:pPr>
      <w:r w:rsidRPr="00E343D2">
        <w:rPr>
          <w:color w:val="000000"/>
          <w:sz w:val="24"/>
        </w:rPr>
        <w:t xml:space="preserve">The CSP put in place a Challenge Log (refer to Appendix 2, also </w:t>
      </w:r>
      <w:r w:rsidRPr="00E343D2">
        <w:rPr>
          <w:i/>
          <w:color w:val="0070C0"/>
          <w:sz w:val="24"/>
        </w:rPr>
        <w:t>Appendix 5 ref 1</w:t>
      </w:r>
      <w:r w:rsidRPr="00E343D2">
        <w:rPr>
          <w:color w:val="000000"/>
          <w:sz w:val="24"/>
        </w:rPr>
        <w:t xml:space="preserve">) in order to keep an ongoing record, and hence evidence, of challenges raised by the CSP and the associated responses and outcomes from SESW. The company welcomed and acted on the advice and challenges provided by the CSP, and agreed, where appropriate, changes and amendments to SESW’s plans; e.g. changes to customer research approach and materials, amendments to outcomes and performance measures, and more clarity in the company’s communication with its customers. </w:t>
      </w:r>
    </w:p>
    <w:p w14:paraId="319991B6" w14:textId="77777777" w:rsidR="00082D1E" w:rsidRPr="00E343D2" w:rsidRDefault="00082D1E" w:rsidP="00572D79">
      <w:pPr>
        <w:pStyle w:val="ListParagraph"/>
        <w:numPr>
          <w:ilvl w:val="0"/>
          <w:numId w:val="3"/>
        </w:numPr>
        <w:spacing w:before="0" w:after="0" w:line="240" w:lineRule="auto"/>
        <w:ind w:left="426"/>
        <w:contextualSpacing/>
        <w:jc w:val="both"/>
        <w:rPr>
          <w:sz w:val="24"/>
        </w:rPr>
      </w:pPr>
      <w:r w:rsidRPr="00E343D2">
        <w:rPr>
          <w:sz w:val="24"/>
        </w:rPr>
        <w:t>There was broad and effective engagement with customers on the acceptability of performance commitments and willingness-to-pay (ref section 3.6.1, 3.7.1).</w:t>
      </w:r>
    </w:p>
    <w:p w14:paraId="6EB3BC87" w14:textId="79FE6F24" w:rsidR="00082D1E" w:rsidRPr="00E343D2" w:rsidRDefault="00082D1E" w:rsidP="00572D79">
      <w:pPr>
        <w:pStyle w:val="ListParagraph"/>
        <w:numPr>
          <w:ilvl w:val="0"/>
          <w:numId w:val="3"/>
        </w:numPr>
        <w:autoSpaceDE w:val="0"/>
        <w:autoSpaceDN w:val="0"/>
        <w:adjustRightInd w:val="0"/>
        <w:spacing w:before="0" w:after="0" w:line="240" w:lineRule="auto"/>
        <w:ind w:left="426"/>
        <w:contextualSpacing/>
        <w:jc w:val="both"/>
        <w:rPr>
          <w:b/>
          <w:color w:val="000000" w:themeColor="text1"/>
          <w:sz w:val="24"/>
        </w:rPr>
      </w:pPr>
      <w:r w:rsidRPr="00E343D2">
        <w:rPr>
          <w:color w:val="000000" w:themeColor="text1"/>
          <w:sz w:val="24"/>
        </w:rPr>
        <w:t>The CSP commended the quality of the customer communications used to support the engagement process (e.g. SESW Vision, and Business Plan consultation documents).</w:t>
      </w:r>
    </w:p>
    <w:p w14:paraId="0031C5F4" w14:textId="77777777" w:rsidR="007A4C0A" w:rsidRPr="00E343D2" w:rsidRDefault="007A4C0A" w:rsidP="00572D79">
      <w:pPr>
        <w:autoSpaceDE w:val="0"/>
        <w:autoSpaceDN w:val="0"/>
        <w:adjustRightInd w:val="0"/>
        <w:spacing w:before="0" w:after="0"/>
        <w:jc w:val="both"/>
        <w:rPr>
          <w:color w:val="000000" w:themeColor="text1"/>
          <w:sz w:val="28"/>
          <w:u w:val="single"/>
        </w:rPr>
      </w:pPr>
    </w:p>
    <w:p w14:paraId="0054696E" w14:textId="77777777" w:rsidR="00082D1E" w:rsidRPr="00BE1371" w:rsidRDefault="00082D1E" w:rsidP="00572D79">
      <w:pPr>
        <w:autoSpaceDE w:val="0"/>
        <w:autoSpaceDN w:val="0"/>
        <w:adjustRightInd w:val="0"/>
        <w:spacing w:before="0" w:after="0"/>
        <w:jc w:val="both"/>
        <w:rPr>
          <w:color w:val="000000" w:themeColor="text1"/>
          <w:u w:val="single"/>
        </w:rPr>
      </w:pPr>
      <w:r w:rsidRPr="00BE1371">
        <w:rPr>
          <w:color w:val="000000" w:themeColor="text1"/>
          <w:u w:val="single"/>
        </w:rPr>
        <w:t>Impact on business Plan</w:t>
      </w:r>
    </w:p>
    <w:p w14:paraId="415D411B" w14:textId="77777777" w:rsidR="00082D1E" w:rsidRPr="00E343D2" w:rsidRDefault="00082D1E" w:rsidP="00572D79">
      <w:pPr>
        <w:pStyle w:val="ListParagraph"/>
        <w:numPr>
          <w:ilvl w:val="0"/>
          <w:numId w:val="3"/>
        </w:numPr>
        <w:autoSpaceDE w:val="0"/>
        <w:autoSpaceDN w:val="0"/>
        <w:adjustRightInd w:val="0"/>
        <w:spacing w:before="0" w:after="0" w:line="240" w:lineRule="auto"/>
        <w:ind w:left="426"/>
        <w:contextualSpacing/>
        <w:jc w:val="both"/>
        <w:rPr>
          <w:color w:val="000000" w:themeColor="text1"/>
          <w:sz w:val="24"/>
        </w:rPr>
      </w:pPr>
      <w:r w:rsidRPr="00E343D2">
        <w:rPr>
          <w:color w:val="000000" w:themeColor="text1"/>
          <w:sz w:val="24"/>
        </w:rPr>
        <w:t>Well-constructed range of detailed plans, actions and commitments in the SESW Business Plan that refer to, and take account of, appropriate customer engagement; e.g. Chapter 1, Section 1 (“What we’ll deliver –how insight shaped our plan”).</w:t>
      </w:r>
    </w:p>
    <w:p w14:paraId="31977FBA" w14:textId="77777777" w:rsidR="00082D1E" w:rsidRPr="00E343D2" w:rsidRDefault="00082D1E" w:rsidP="00572D79">
      <w:pPr>
        <w:pStyle w:val="ListParagraph"/>
        <w:numPr>
          <w:ilvl w:val="0"/>
          <w:numId w:val="3"/>
        </w:numPr>
        <w:spacing w:before="0" w:after="0" w:line="240" w:lineRule="auto"/>
        <w:ind w:left="426"/>
        <w:contextualSpacing/>
        <w:jc w:val="both"/>
        <w:rPr>
          <w:sz w:val="24"/>
        </w:rPr>
      </w:pPr>
      <w:r w:rsidRPr="00E343D2">
        <w:rPr>
          <w:sz w:val="24"/>
        </w:rPr>
        <w:t>Following the CSP challenging SESW regarding a lack of “triangulation” evidence, SESW provided (</w:t>
      </w:r>
      <w:r w:rsidRPr="00E343D2">
        <w:rPr>
          <w:i/>
          <w:color w:val="0070C0"/>
          <w:sz w:val="24"/>
        </w:rPr>
        <w:t>Appendix 5 ref 2</w:t>
      </w:r>
      <w:r w:rsidRPr="00E343D2">
        <w:rPr>
          <w:sz w:val="24"/>
        </w:rPr>
        <w:t xml:space="preserve">) helpful explanation of evidence sources and linkages to clarify the starting point conclusions on customer priorities, how the research refined that, and then how it flowed through to the Plan. </w:t>
      </w:r>
    </w:p>
    <w:p w14:paraId="1C0BDF69" w14:textId="77777777" w:rsidR="00082D1E" w:rsidRPr="00E343D2" w:rsidRDefault="00082D1E" w:rsidP="00572D79">
      <w:pPr>
        <w:pStyle w:val="ListParagraph"/>
        <w:numPr>
          <w:ilvl w:val="0"/>
          <w:numId w:val="3"/>
        </w:numPr>
        <w:spacing w:before="0" w:after="0" w:line="240" w:lineRule="auto"/>
        <w:ind w:left="426"/>
        <w:contextualSpacing/>
        <w:jc w:val="both"/>
        <w:rPr>
          <w:sz w:val="24"/>
        </w:rPr>
      </w:pPr>
      <w:r w:rsidRPr="00E343D2">
        <w:rPr>
          <w:sz w:val="24"/>
        </w:rPr>
        <w:t>Good engagement with customers on acceptability of the overall Business Plan, and clear linkages of customer feedback and support to stretching Plan commitments (ref section 3.6.1, 3.7.1) e.g.</w:t>
      </w:r>
    </w:p>
    <w:p w14:paraId="0E8674A6" w14:textId="77777777" w:rsidR="00082D1E" w:rsidRPr="00E343D2" w:rsidRDefault="00082D1E" w:rsidP="00572D79">
      <w:pPr>
        <w:pStyle w:val="ListParagraph"/>
        <w:numPr>
          <w:ilvl w:val="1"/>
          <w:numId w:val="2"/>
        </w:numPr>
        <w:spacing w:before="0" w:after="0" w:line="240" w:lineRule="auto"/>
        <w:ind w:left="851" w:hanging="425"/>
        <w:contextualSpacing/>
        <w:jc w:val="both"/>
        <w:rPr>
          <w:color w:val="000000" w:themeColor="text1"/>
          <w:sz w:val="24"/>
        </w:rPr>
      </w:pPr>
      <w:r w:rsidRPr="00E343D2">
        <w:rPr>
          <w:color w:val="000000" w:themeColor="text1"/>
          <w:sz w:val="24"/>
        </w:rPr>
        <w:t>SESW aims to achieve upper quartile performance for supply interruptions; and remains one of best performing companies for leakage per property/day.</w:t>
      </w:r>
    </w:p>
    <w:p w14:paraId="5735ABF1" w14:textId="77777777" w:rsidR="00082D1E" w:rsidRPr="00E343D2" w:rsidRDefault="00082D1E" w:rsidP="00572D79">
      <w:pPr>
        <w:pStyle w:val="ListParagraph"/>
        <w:numPr>
          <w:ilvl w:val="1"/>
          <w:numId w:val="2"/>
        </w:numPr>
        <w:spacing w:before="0" w:after="0" w:line="240" w:lineRule="auto"/>
        <w:ind w:left="851" w:hanging="425"/>
        <w:contextualSpacing/>
        <w:jc w:val="both"/>
        <w:rPr>
          <w:color w:val="000000" w:themeColor="text1"/>
          <w:sz w:val="24"/>
        </w:rPr>
      </w:pPr>
      <w:r w:rsidRPr="00E343D2">
        <w:rPr>
          <w:color w:val="000000" w:themeColor="text1"/>
          <w:sz w:val="24"/>
        </w:rPr>
        <w:t xml:space="preserve">SESW has a performance commitment aimed at maintaining industry leading performance for the number of bursts.  </w:t>
      </w:r>
    </w:p>
    <w:p w14:paraId="411219C3" w14:textId="77777777" w:rsidR="00082D1E" w:rsidRPr="00E343D2" w:rsidRDefault="00082D1E" w:rsidP="00572D79">
      <w:pPr>
        <w:pStyle w:val="ListParagraph"/>
        <w:numPr>
          <w:ilvl w:val="1"/>
          <w:numId w:val="4"/>
        </w:numPr>
        <w:spacing w:before="0" w:after="0" w:line="240" w:lineRule="auto"/>
        <w:ind w:left="851" w:hanging="425"/>
        <w:contextualSpacing/>
        <w:jc w:val="both"/>
        <w:rPr>
          <w:i/>
          <w:color w:val="000000" w:themeColor="text1"/>
          <w:sz w:val="24"/>
        </w:rPr>
      </w:pPr>
      <w:r w:rsidRPr="00E343D2">
        <w:rPr>
          <w:color w:val="000000" w:themeColor="text1"/>
          <w:sz w:val="24"/>
        </w:rPr>
        <w:lastRenderedPageBreak/>
        <w:t xml:space="preserve">SESW has one of the best % achievement for all water companies relating to social tariff uptake per 10k customers, and following targeted and detailed research (ref Phase 2/3 output </w:t>
      </w:r>
      <w:r w:rsidRPr="00E343D2">
        <w:rPr>
          <w:i/>
          <w:color w:val="0070C0"/>
          <w:sz w:val="24"/>
        </w:rPr>
        <w:t>Appendix 5 ref R2-8</w:t>
      </w:r>
      <w:r w:rsidRPr="00E343D2">
        <w:rPr>
          <w:color w:val="000000" w:themeColor="text1"/>
          <w:sz w:val="24"/>
        </w:rPr>
        <w:t>) is proposing a significant increase in subsidy and uptake of the social tariff.</w:t>
      </w:r>
    </w:p>
    <w:p w14:paraId="6E73262E" w14:textId="77777777" w:rsidR="00082D1E" w:rsidRPr="00E343D2" w:rsidRDefault="00082D1E" w:rsidP="00572D79">
      <w:pPr>
        <w:pStyle w:val="ListParagraph"/>
        <w:numPr>
          <w:ilvl w:val="1"/>
          <w:numId w:val="2"/>
        </w:numPr>
        <w:suppressAutoHyphens/>
        <w:overflowPunct w:val="0"/>
        <w:autoSpaceDE w:val="0"/>
        <w:autoSpaceDN w:val="0"/>
        <w:adjustRightInd w:val="0"/>
        <w:spacing w:before="0" w:after="0" w:line="240" w:lineRule="auto"/>
        <w:ind w:left="851" w:hanging="425"/>
        <w:jc w:val="both"/>
        <w:rPr>
          <w:sz w:val="24"/>
        </w:rPr>
      </w:pPr>
      <w:r w:rsidRPr="00E343D2">
        <w:rPr>
          <w:sz w:val="24"/>
        </w:rPr>
        <w:t>SESW includes additional longer term projections for key PCs (e.g. PCC reduction to 118 l/day and leakage/bursts reducing by 50% by 2050)</w:t>
      </w:r>
    </w:p>
    <w:p w14:paraId="528C9278" w14:textId="77777777" w:rsidR="00082D1E" w:rsidRPr="00E343D2" w:rsidRDefault="00082D1E" w:rsidP="00572D79">
      <w:pPr>
        <w:pStyle w:val="ListParagraph"/>
        <w:numPr>
          <w:ilvl w:val="0"/>
          <w:numId w:val="2"/>
        </w:numPr>
        <w:spacing w:before="0" w:after="0" w:line="240" w:lineRule="auto"/>
        <w:ind w:left="426"/>
        <w:contextualSpacing/>
        <w:jc w:val="both"/>
        <w:rPr>
          <w:i/>
          <w:color w:val="000000" w:themeColor="text1"/>
          <w:sz w:val="24"/>
        </w:rPr>
      </w:pPr>
      <w:r w:rsidRPr="00E343D2">
        <w:rPr>
          <w:color w:val="000000" w:themeColor="text1"/>
          <w:sz w:val="24"/>
        </w:rPr>
        <w:t xml:space="preserve">Good evidence that SESW has taken customer views into account on the profile of bills over time, and bill impact acceptability. </w:t>
      </w:r>
    </w:p>
    <w:p w14:paraId="75DBE4AD" w14:textId="77777777" w:rsidR="00082D1E" w:rsidRPr="00E343D2" w:rsidRDefault="00082D1E" w:rsidP="00572D79">
      <w:pPr>
        <w:pStyle w:val="ListParagraph"/>
        <w:numPr>
          <w:ilvl w:val="1"/>
          <w:numId w:val="2"/>
        </w:numPr>
        <w:spacing w:before="0" w:after="0" w:line="240" w:lineRule="auto"/>
        <w:ind w:left="851" w:hanging="425"/>
        <w:contextualSpacing/>
        <w:jc w:val="both"/>
        <w:rPr>
          <w:i/>
          <w:color w:val="000000" w:themeColor="text1"/>
          <w:sz w:val="24"/>
        </w:rPr>
      </w:pPr>
      <w:r w:rsidRPr="00E343D2">
        <w:rPr>
          <w:color w:val="000000" w:themeColor="text1"/>
          <w:sz w:val="24"/>
        </w:rPr>
        <w:t xml:space="preserve">SESW ensured that it informed customers of the overall bill impact, and how it might change over time, in a way that customers could easily understand (as per Appendix 3 </w:t>
      </w:r>
      <w:r w:rsidRPr="00E343D2">
        <w:rPr>
          <w:i/>
          <w:color w:val="000000" w:themeColor="text1"/>
          <w:sz w:val="24"/>
        </w:rPr>
        <w:t xml:space="preserve">fig 4.3.1x </w:t>
      </w:r>
      <w:r w:rsidRPr="00E343D2">
        <w:rPr>
          <w:color w:val="000000" w:themeColor="text1"/>
          <w:sz w:val="24"/>
        </w:rPr>
        <w:t>and p12-14 of</w:t>
      </w:r>
      <w:r w:rsidRPr="00E343D2">
        <w:rPr>
          <w:i/>
          <w:color w:val="000000" w:themeColor="text1"/>
          <w:sz w:val="24"/>
        </w:rPr>
        <w:t xml:space="preserve"> </w:t>
      </w:r>
      <w:r w:rsidRPr="00E343D2">
        <w:rPr>
          <w:i/>
          <w:color w:val="0070C0"/>
          <w:sz w:val="24"/>
        </w:rPr>
        <w:t>Appendix 5 ref R7</w:t>
      </w:r>
      <w:r w:rsidRPr="00E343D2">
        <w:rPr>
          <w:color w:val="000000" w:themeColor="text1"/>
          <w:sz w:val="24"/>
        </w:rPr>
        <w:t>).</w:t>
      </w:r>
    </w:p>
    <w:p w14:paraId="0FE0ADF2" w14:textId="77777777" w:rsidR="00082D1E" w:rsidRPr="00E343D2" w:rsidRDefault="00082D1E" w:rsidP="00572D79">
      <w:pPr>
        <w:pStyle w:val="ListParagraph"/>
        <w:numPr>
          <w:ilvl w:val="1"/>
          <w:numId w:val="2"/>
        </w:numPr>
        <w:spacing w:before="0" w:after="0" w:line="240" w:lineRule="auto"/>
        <w:ind w:left="851" w:hanging="425"/>
        <w:contextualSpacing/>
        <w:jc w:val="both"/>
        <w:rPr>
          <w:i/>
          <w:color w:val="000000" w:themeColor="text1"/>
          <w:sz w:val="24"/>
        </w:rPr>
      </w:pPr>
      <w:r w:rsidRPr="00E343D2">
        <w:rPr>
          <w:color w:val="000000" w:themeColor="text1"/>
          <w:sz w:val="24"/>
        </w:rPr>
        <w:t>Phase 2 analysis of WTP and Phase 3 acceptability testing (ref Appendix 3, section 4.3.1), plus the broader Business Plan consultation provided good evidence of customer views on bill impact being taken into account.</w:t>
      </w:r>
    </w:p>
    <w:p w14:paraId="397DE260" w14:textId="77777777" w:rsidR="00082D1E" w:rsidRPr="00E343D2" w:rsidRDefault="00082D1E" w:rsidP="00572D79">
      <w:pPr>
        <w:pStyle w:val="ListParagraph"/>
        <w:numPr>
          <w:ilvl w:val="1"/>
          <w:numId w:val="2"/>
        </w:numPr>
        <w:spacing w:before="0" w:after="0" w:line="240" w:lineRule="auto"/>
        <w:ind w:left="851" w:hanging="425"/>
        <w:contextualSpacing/>
        <w:jc w:val="both"/>
        <w:rPr>
          <w:i/>
          <w:color w:val="000000" w:themeColor="text1"/>
          <w:sz w:val="24"/>
        </w:rPr>
      </w:pPr>
      <w:r w:rsidRPr="00E343D2">
        <w:rPr>
          <w:color w:val="000000" w:themeColor="text1"/>
          <w:sz w:val="24"/>
        </w:rPr>
        <w:t>SESW undertook specific customer engagement on the willingness to pay a premium for continuing to be served by a small local company (</w:t>
      </w:r>
      <w:r w:rsidRPr="00E343D2">
        <w:rPr>
          <w:i/>
          <w:color w:val="0070C0"/>
          <w:sz w:val="24"/>
        </w:rPr>
        <w:t>Appendix 5 ref R4</w:t>
      </w:r>
      <w:r w:rsidRPr="00E343D2">
        <w:rPr>
          <w:color w:val="000000" w:themeColor="text1"/>
          <w:sz w:val="24"/>
        </w:rPr>
        <w:t>).</w:t>
      </w:r>
    </w:p>
    <w:p w14:paraId="2D623EF7" w14:textId="77777777" w:rsidR="00082D1E" w:rsidRPr="00E343D2" w:rsidRDefault="00082D1E" w:rsidP="00572D79">
      <w:pPr>
        <w:pStyle w:val="ListParagraph"/>
        <w:numPr>
          <w:ilvl w:val="0"/>
          <w:numId w:val="3"/>
        </w:numPr>
        <w:autoSpaceDE w:val="0"/>
        <w:autoSpaceDN w:val="0"/>
        <w:adjustRightInd w:val="0"/>
        <w:spacing w:before="0" w:after="0" w:line="240" w:lineRule="auto"/>
        <w:ind w:left="426"/>
        <w:contextualSpacing/>
        <w:jc w:val="both"/>
        <w:rPr>
          <w:color w:val="000000" w:themeColor="text1"/>
          <w:sz w:val="24"/>
        </w:rPr>
      </w:pPr>
      <w:r w:rsidRPr="00E343D2">
        <w:rPr>
          <w:sz w:val="24"/>
        </w:rPr>
        <w:t xml:space="preserve">Clear assurance from the Board NEDs that the company has closely considered the Ofwat guidance on financial structures and has agreed plans to ensure the company gearing is within the required levels (ref section 3.8). </w:t>
      </w:r>
    </w:p>
    <w:p w14:paraId="4A679E38" w14:textId="77777777" w:rsidR="00082D1E" w:rsidRPr="00980327" w:rsidRDefault="00082D1E" w:rsidP="00572D79">
      <w:pPr>
        <w:autoSpaceDE w:val="0"/>
        <w:autoSpaceDN w:val="0"/>
        <w:adjustRightInd w:val="0"/>
        <w:jc w:val="both"/>
        <w:rPr>
          <w:b/>
          <w:color w:val="0070C0"/>
        </w:rPr>
      </w:pPr>
      <w:r w:rsidRPr="00980327">
        <w:rPr>
          <w:b/>
          <w:color w:val="0070C0"/>
        </w:rPr>
        <w:t>Outstanding challenges/points of note</w:t>
      </w:r>
    </w:p>
    <w:p w14:paraId="63B60B20" w14:textId="56956CCC" w:rsidR="00082D1E" w:rsidRPr="00BB25C8" w:rsidRDefault="00082D1E" w:rsidP="00572D79">
      <w:pPr>
        <w:autoSpaceDE w:val="0"/>
        <w:autoSpaceDN w:val="0"/>
        <w:adjustRightInd w:val="0"/>
        <w:jc w:val="both"/>
        <w:rPr>
          <w:color w:val="000000" w:themeColor="text1"/>
        </w:rPr>
      </w:pPr>
      <w:r>
        <w:rPr>
          <w:color w:val="000000" w:themeColor="text1"/>
        </w:rPr>
        <w:t>While overall the CSP is reporting positively on the quality of SESW’s customer engagement, and the impact this has had on the Business Plan, there are a limited number of challenge areas and points of note that the CSP would still flag at the end of this process, i.e.;</w:t>
      </w:r>
    </w:p>
    <w:p w14:paraId="59D5C714" w14:textId="77777777" w:rsidR="00082D1E" w:rsidRPr="00491DBC" w:rsidRDefault="00082D1E" w:rsidP="00572D79">
      <w:pPr>
        <w:autoSpaceDE w:val="0"/>
        <w:autoSpaceDN w:val="0"/>
        <w:adjustRightInd w:val="0"/>
        <w:spacing w:before="0" w:after="0"/>
        <w:jc w:val="both"/>
        <w:rPr>
          <w:color w:val="000000" w:themeColor="text1"/>
          <w:u w:val="single"/>
        </w:rPr>
      </w:pPr>
      <w:r w:rsidRPr="00491DBC">
        <w:rPr>
          <w:color w:val="000000" w:themeColor="text1"/>
          <w:u w:val="single"/>
        </w:rPr>
        <w:t>Quality of Engagement</w:t>
      </w:r>
    </w:p>
    <w:p w14:paraId="79433F27" w14:textId="77777777" w:rsidR="00082D1E" w:rsidRPr="00E343D2" w:rsidRDefault="00082D1E" w:rsidP="00572D79">
      <w:pPr>
        <w:pStyle w:val="ListParagraph"/>
        <w:numPr>
          <w:ilvl w:val="0"/>
          <w:numId w:val="5"/>
        </w:numPr>
        <w:autoSpaceDE w:val="0"/>
        <w:autoSpaceDN w:val="0"/>
        <w:adjustRightInd w:val="0"/>
        <w:spacing w:before="0" w:after="0" w:line="240" w:lineRule="auto"/>
        <w:ind w:left="426" w:hanging="426"/>
        <w:contextualSpacing/>
        <w:jc w:val="both"/>
        <w:rPr>
          <w:color w:val="000000" w:themeColor="text1"/>
          <w:sz w:val="24"/>
        </w:rPr>
      </w:pPr>
      <w:r w:rsidRPr="00E343D2">
        <w:rPr>
          <w:color w:val="000000" w:themeColor="text1"/>
          <w:sz w:val="24"/>
        </w:rPr>
        <w:t xml:space="preserve">The CSP considers that SESW’s engagement approach, while comprehensive and effective, could have benefited from stronger project planning with regard to engagement and the wider business plan process at the outset. </w:t>
      </w:r>
    </w:p>
    <w:p w14:paraId="23DAA2CC"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hanging="425"/>
        <w:contextualSpacing/>
        <w:jc w:val="both"/>
        <w:rPr>
          <w:color w:val="000000" w:themeColor="text1"/>
          <w:sz w:val="24"/>
        </w:rPr>
      </w:pPr>
      <w:r w:rsidRPr="00E343D2">
        <w:rPr>
          <w:color w:val="000000" w:themeColor="text1"/>
          <w:sz w:val="24"/>
        </w:rPr>
        <w:t xml:space="preserve">The CSP accepts that there was a clear Customer Research brief and plan but considers that there could have been a clearer overall engagement strategy including e.g. strategic aims, initial hypotheses, the role of research vs other engagement sources (e.g. BAU data) and how “triangulation” would be embedded in the approach. </w:t>
      </w:r>
    </w:p>
    <w:p w14:paraId="15A427AE"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hanging="425"/>
        <w:contextualSpacing/>
        <w:jc w:val="both"/>
        <w:rPr>
          <w:color w:val="000000" w:themeColor="text1"/>
          <w:sz w:val="24"/>
        </w:rPr>
      </w:pPr>
      <w:r w:rsidRPr="00E343D2">
        <w:rPr>
          <w:color w:val="000000" w:themeColor="text1"/>
          <w:sz w:val="24"/>
        </w:rPr>
        <w:t>SESW’s view is that they intended Phase 1 (“Listen/Learn”) as a basis to inform a more detailed approach and plan; and the CSP agree that the engagement approach did evolve over the plan period and did ultimately deliver an effective output but the CSP maintains the view that the process would have been more efficient had it included clearer aims and project plans at the outset.</w:t>
      </w:r>
    </w:p>
    <w:p w14:paraId="55930132" w14:textId="77777777" w:rsidR="00082D1E" w:rsidRPr="00E343D2" w:rsidRDefault="00082D1E" w:rsidP="00572D79">
      <w:pPr>
        <w:pStyle w:val="Default"/>
        <w:numPr>
          <w:ilvl w:val="0"/>
          <w:numId w:val="6"/>
        </w:numPr>
        <w:ind w:left="426" w:hanging="426"/>
        <w:jc w:val="both"/>
        <w:rPr>
          <w:rFonts w:ascii="Arial" w:hAnsi="Arial" w:cs="Arial"/>
          <w:color w:val="000000" w:themeColor="text1"/>
          <w:szCs w:val="22"/>
        </w:rPr>
      </w:pPr>
      <w:r w:rsidRPr="00E343D2">
        <w:rPr>
          <w:rFonts w:ascii="Arial" w:hAnsi="Arial" w:cs="Arial"/>
          <w:color w:val="000000" w:themeColor="text1"/>
          <w:szCs w:val="22"/>
        </w:rPr>
        <w:t xml:space="preserve">While the CSP provides an overall positive assurance on the quality of the customer engagement, there were some limited areas where the CSP concludes </w:t>
      </w:r>
      <w:r w:rsidRPr="00E343D2">
        <w:rPr>
          <w:rFonts w:ascii="Arial" w:hAnsi="Arial" w:cs="Arial"/>
          <w:color w:val="000000" w:themeColor="text1"/>
          <w:szCs w:val="22"/>
        </w:rPr>
        <w:lastRenderedPageBreak/>
        <w:t>the sampling and evidence could have been improved, and thus provided stronger assurance e.g.</w:t>
      </w:r>
    </w:p>
    <w:p w14:paraId="03A1C3D8"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hanging="425"/>
        <w:contextualSpacing/>
        <w:jc w:val="both"/>
        <w:rPr>
          <w:color w:val="000000" w:themeColor="text1"/>
          <w:sz w:val="24"/>
        </w:rPr>
      </w:pPr>
      <w:r w:rsidRPr="00E343D2">
        <w:rPr>
          <w:color w:val="000000" w:themeColor="text1"/>
          <w:kern w:val="24"/>
          <w:sz w:val="24"/>
        </w:rPr>
        <w:t>CSP considers there could still have been more assurance of evidence of sufficient engagement with customers specifically relating to non-financial support for those in vulnerable circumstances; i.e. while there was good evidence of engagement on the Social Tariff aspects of vulnerability, plus inclusion in the Plan of improved future initiatives on non-financial support, the specific sampling of customers in non-financial vulnerable circumstances was somewhat limited.</w:t>
      </w:r>
    </w:p>
    <w:p w14:paraId="6FE2DF6D"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hanging="425"/>
        <w:contextualSpacing/>
        <w:jc w:val="both"/>
        <w:rPr>
          <w:color w:val="000000" w:themeColor="text1"/>
          <w:sz w:val="24"/>
        </w:rPr>
      </w:pPr>
      <w:r w:rsidRPr="00E343D2">
        <w:rPr>
          <w:color w:val="000000" w:themeColor="text1"/>
          <w:sz w:val="24"/>
        </w:rPr>
        <w:t xml:space="preserve">While SESW has sought to engage with customers on co-creation/co-delivery, and refer to good examples of this in the Business Plan, the CSP considers that the depth and scope was not fully in line with the Ofwat guidance proposed in their </w:t>
      </w:r>
      <w:hyperlink r:id="rId19" w:history="1">
        <w:r w:rsidRPr="00E343D2">
          <w:rPr>
            <w:rStyle w:val="Hyperlink"/>
            <w:color w:val="000000" w:themeColor="text1"/>
            <w:sz w:val="24"/>
          </w:rPr>
          <w:t>Tapped In Report</w:t>
        </w:r>
      </w:hyperlink>
      <w:r w:rsidRPr="00E343D2">
        <w:rPr>
          <w:color w:val="000000" w:themeColor="text1"/>
          <w:sz w:val="24"/>
        </w:rPr>
        <w:t>, which includes examples of other companies doing more in this area.</w:t>
      </w:r>
    </w:p>
    <w:p w14:paraId="6DA24E02"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hanging="425"/>
        <w:contextualSpacing/>
        <w:jc w:val="both"/>
        <w:rPr>
          <w:color w:val="000000" w:themeColor="text1"/>
          <w:sz w:val="24"/>
        </w:rPr>
      </w:pPr>
      <w:r w:rsidRPr="00E343D2">
        <w:rPr>
          <w:color w:val="000000" w:themeColor="text1"/>
          <w:sz w:val="24"/>
        </w:rPr>
        <w:t xml:space="preserve">Limited assurance on Future Customers viewpoints and the impact on longer term commitments (e.g. in resilience), where the CSP challenged re low sampling of specific future customer groups (although there was a larger sample of future customers in phase 3, and there is detail and evidence for longer term resilience actions in the Business Plan Chapter 4 and 7). </w:t>
      </w:r>
    </w:p>
    <w:p w14:paraId="0035EE86" w14:textId="29C44420" w:rsidR="00082D1E" w:rsidRPr="00E343D2" w:rsidRDefault="00082D1E" w:rsidP="00572D79">
      <w:pPr>
        <w:pStyle w:val="ListParagraph"/>
        <w:numPr>
          <w:ilvl w:val="1"/>
          <w:numId w:val="5"/>
        </w:numPr>
        <w:autoSpaceDE w:val="0"/>
        <w:autoSpaceDN w:val="0"/>
        <w:adjustRightInd w:val="0"/>
        <w:spacing w:before="0" w:after="0" w:line="240" w:lineRule="auto"/>
        <w:ind w:left="851" w:hanging="425"/>
        <w:contextualSpacing/>
        <w:jc w:val="both"/>
        <w:rPr>
          <w:color w:val="000000" w:themeColor="text1"/>
          <w:sz w:val="24"/>
        </w:rPr>
      </w:pPr>
      <w:r w:rsidRPr="00E343D2">
        <w:rPr>
          <w:color w:val="000000" w:themeColor="text1"/>
          <w:sz w:val="24"/>
        </w:rPr>
        <w:t>Business Customers: the CSP agree that SESW engaged effectively with Business customers, but consider that the segmentation and sampling could have been broader (250 customers and 2 small workshops), e.g. engaging with a broader sample of large/medium enterprises.</w:t>
      </w:r>
    </w:p>
    <w:p w14:paraId="6976503F" w14:textId="77777777" w:rsidR="007A4C0A" w:rsidRPr="00E343D2" w:rsidRDefault="007A4C0A" w:rsidP="00572D79">
      <w:pPr>
        <w:pStyle w:val="ListParagraph"/>
        <w:numPr>
          <w:ilvl w:val="0"/>
          <w:numId w:val="0"/>
        </w:numPr>
        <w:autoSpaceDE w:val="0"/>
        <w:autoSpaceDN w:val="0"/>
        <w:adjustRightInd w:val="0"/>
        <w:spacing w:before="0" w:after="0" w:line="240" w:lineRule="auto"/>
        <w:ind w:left="851"/>
        <w:contextualSpacing/>
        <w:jc w:val="both"/>
        <w:rPr>
          <w:color w:val="000000" w:themeColor="text1"/>
          <w:sz w:val="24"/>
        </w:rPr>
      </w:pPr>
    </w:p>
    <w:p w14:paraId="300C4C2B" w14:textId="77777777" w:rsidR="00082D1E" w:rsidRPr="00BE1371" w:rsidRDefault="00082D1E" w:rsidP="00572D79">
      <w:pPr>
        <w:autoSpaceDE w:val="0"/>
        <w:autoSpaceDN w:val="0"/>
        <w:adjustRightInd w:val="0"/>
        <w:spacing w:before="0" w:after="0"/>
        <w:jc w:val="both"/>
        <w:rPr>
          <w:color w:val="000000" w:themeColor="text1"/>
          <w:u w:val="single"/>
        </w:rPr>
      </w:pPr>
      <w:r w:rsidRPr="00BE1371">
        <w:rPr>
          <w:color w:val="000000" w:themeColor="text1"/>
          <w:u w:val="single"/>
        </w:rPr>
        <w:t>Impact on Business Plan</w:t>
      </w:r>
    </w:p>
    <w:p w14:paraId="62D2DE05" w14:textId="77777777" w:rsidR="00082D1E" w:rsidRPr="00E343D2" w:rsidRDefault="00082D1E" w:rsidP="00572D79">
      <w:pPr>
        <w:pStyle w:val="ListParagraph"/>
        <w:numPr>
          <w:ilvl w:val="0"/>
          <w:numId w:val="5"/>
        </w:numPr>
        <w:autoSpaceDE w:val="0"/>
        <w:autoSpaceDN w:val="0"/>
        <w:adjustRightInd w:val="0"/>
        <w:spacing w:before="0" w:after="0" w:line="240" w:lineRule="auto"/>
        <w:ind w:left="426" w:hanging="426"/>
        <w:contextualSpacing/>
        <w:jc w:val="both"/>
        <w:rPr>
          <w:color w:val="000000" w:themeColor="text1"/>
          <w:sz w:val="24"/>
        </w:rPr>
      </w:pPr>
      <w:r w:rsidRPr="00E343D2">
        <w:rPr>
          <w:color w:val="000000" w:themeColor="text1"/>
          <w:sz w:val="24"/>
        </w:rPr>
        <w:t>The timetable for production and approval by the SESW Board of the detailed Business Plan, and the overall sequencing of customer engagement, CSP discussions and Board considerations meant that the CSP was constrained in terms of having adequate time to fully consider the drafts or final version of the Plan. T</w:t>
      </w:r>
      <w:r w:rsidRPr="00E343D2">
        <w:rPr>
          <w:color w:val="000000"/>
          <w:sz w:val="24"/>
        </w:rPr>
        <w:t>his limited the CSP’s ability to fully and effectively discuss and challenge all Business Plan content and updates.</w:t>
      </w:r>
    </w:p>
    <w:p w14:paraId="4E9C4A38"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contextualSpacing/>
        <w:jc w:val="both"/>
        <w:rPr>
          <w:color w:val="000000" w:themeColor="text1"/>
          <w:sz w:val="24"/>
        </w:rPr>
      </w:pPr>
      <w:r w:rsidRPr="00E343D2">
        <w:rPr>
          <w:color w:val="000000" w:themeColor="text1"/>
          <w:sz w:val="24"/>
        </w:rPr>
        <w:t xml:space="preserve">The CSP did recognise that the Ofwat requirement to submit both the Plan and CSP Report on the same day would create constraints; and that CSP did have earlier insight and engagement with SESW, e.g. on PCs/ODIs, which enabled some review of how the customer engagement was impacting the business plan; plus SESW did attempt to provide a drip-feed of Plan outputs as they became available. </w:t>
      </w:r>
    </w:p>
    <w:p w14:paraId="5CD82F77"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contextualSpacing/>
        <w:jc w:val="both"/>
        <w:rPr>
          <w:color w:val="000000" w:themeColor="text1"/>
          <w:sz w:val="24"/>
        </w:rPr>
      </w:pPr>
      <w:r w:rsidRPr="00E343D2">
        <w:rPr>
          <w:color w:val="000000" w:themeColor="text1"/>
          <w:sz w:val="24"/>
        </w:rPr>
        <w:t>However the CSP did not see a fully consolidated draft of the Plan prior to Aug 15</w:t>
      </w:r>
      <w:r w:rsidRPr="00E343D2">
        <w:rPr>
          <w:color w:val="000000" w:themeColor="text1"/>
          <w:sz w:val="24"/>
          <w:vertAlign w:val="superscript"/>
        </w:rPr>
        <w:t>th</w:t>
      </w:r>
      <w:r w:rsidRPr="00E343D2">
        <w:rPr>
          <w:color w:val="000000" w:themeColor="text1"/>
          <w:sz w:val="24"/>
        </w:rPr>
        <w:t>, which limited the ability to review and provide feedback to SESW (for their Board meeting on Aug 20</w:t>
      </w:r>
      <w:r w:rsidRPr="00E343D2">
        <w:rPr>
          <w:color w:val="000000" w:themeColor="text1"/>
          <w:sz w:val="24"/>
          <w:vertAlign w:val="superscript"/>
        </w:rPr>
        <w:t>th</w:t>
      </w:r>
      <w:r w:rsidRPr="00E343D2">
        <w:rPr>
          <w:color w:val="000000" w:themeColor="text1"/>
          <w:sz w:val="24"/>
        </w:rPr>
        <w:t>). SESW accepts this is a learning point and has agreed to make changes in its Business Plan process to make the next price review planning process easier.</w:t>
      </w:r>
    </w:p>
    <w:p w14:paraId="6CA1E25C"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contextualSpacing/>
        <w:jc w:val="both"/>
        <w:rPr>
          <w:color w:val="000000" w:themeColor="text1"/>
          <w:sz w:val="24"/>
        </w:rPr>
      </w:pPr>
      <w:r w:rsidRPr="00E343D2">
        <w:rPr>
          <w:color w:val="000000" w:themeColor="text1"/>
          <w:sz w:val="24"/>
        </w:rPr>
        <w:t>There was good and helpful debate on outstanding points at the 20</w:t>
      </w:r>
      <w:r w:rsidRPr="00E343D2">
        <w:rPr>
          <w:color w:val="000000" w:themeColor="text1"/>
          <w:sz w:val="24"/>
          <w:vertAlign w:val="superscript"/>
        </w:rPr>
        <w:t>th</w:t>
      </w:r>
      <w:r w:rsidRPr="00E343D2">
        <w:rPr>
          <w:color w:val="000000" w:themeColor="text1"/>
          <w:sz w:val="24"/>
        </w:rPr>
        <w:t xml:space="preserve"> Aug CSP meeting, and SESW responded promptly with proposed improvements to the Business Plan (ref SESW Business Plan Appendix A1.7). </w:t>
      </w:r>
    </w:p>
    <w:p w14:paraId="1975E679" w14:textId="77777777" w:rsidR="00082D1E" w:rsidRPr="00E343D2" w:rsidRDefault="00082D1E" w:rsidP="00572D79">
      <w:pPr>
        <w:pStyle w:val="ListParagraph"/>
        <w:numPr>
          <w:ilvl w:val="1"/>
          <w:numId w:val="5"/>
        </w:numPr>
        <w:autoSpaceDE w:val="0"/>
        <w:autoSpaceDN w:val="0"/>
        <w:adjustRightInd w:val="0"/>
        <w:spacing w:before="0" w:after="0" w:line="240" w:lineRule="auto"/>
        <w:ind w:left="851"/>
        <w:contextualSpacing/>
        <w:jc w:val="both"/>
        <w:rPr>
          <w:color w:val="000000" w:themeColor="text1"/>
          <w:sz w:val="24"/>
        </w:rPr>
      </w:pPr>
      <w:r w:rsidRPr="00E343D2">
        <w:rPr>
          <w:color w:val="000000" w:themeColor="text1"/>
          <w:sz w:val="24"/>
        </w:rPr>
        <w:t>Although this final iteration of review was constrained by the limited remaining time for mutual final drafting, and report finalisation before 3</w:t>
      </w:r>
      <w:r w:rsidRPr="00E343D2">
        <w:rPr>
          <w:color w:val="000000" w:themeColor="text1"/>
          <w:sz w:val="24"/>
          <w:vertAlign w:val="superscript"/>
        </w:rPr>
        <w:t>rd</w:t>
      </w:r>
      <w:r w:rsidRPr="00E343D2">
        <w:rPr>
          <w:color w:val="000000" w:themeColor="text1"/>
          <w:sz w:val="24"/>
        </w:rPr>
        <w:t xml:space="preserve"> September, </w:t>
      </w:r>
      <w:r w:rsidRPr="00E343D2">
        <w:rPr>
          <w:b/>
          <w:color w:val="000000" w:themeColor="text1"/>
          <w:sz w:val="24"/>
        </w:rPr>
        <w:t xml:space="preserve">the CSP notes positively that the final version of the </w:t>
      </w:r>
      <w:r w:rsidRPr="00E343D2">
        <w:rPr>
          <w:b/>
          <w:color w:val="000000" w:themeColor="text1"/>
          <w:sz w:val="24"/>
        </w:rPr>
        <w:lastRenderedPageBreak/>
        <w:t>Business Plan is a high quality, and SESW has taken good account of the final CSP feedback.</w:t>
      </w:r>
    </w:p>
    <w:p w14:paraId="5B177DF5" w14:textId="77777777" w:rsidR="00082D1E" w:rsidRPr="00E343D2" w:rsidRDefault="00082D1E" w:rsidP="00572D79">
      <w:pPr>
        <w:pStyle w:val="ListParagraph"/>
        <w:numPr>
          <w:ilvl w:val="0"/>
          <w:numId w:val="5"/>
        </w:numPr>
        <w:spacing w:before="0" w:after="0" w:line="240" w:lineRule="auto"/>
        <w:ind w:left="426" w:hanging="426"/>
        <w:contextualSpacing/>
        <w:jc w:val="both"/>
        <w:rPr>
          <w:color w:val="000000" w:themeColor="text1"/>
          <w:sz w:val="24"/>
        </w:rPr>
      </w:pPr>
      <w:r w:rsidRPr="00E343D2">
        <w:rPr>
          <w:color w:val="000000" w:themeColor="text1"/>
          <w:sz w:val="24"/>
        </w:rPr>
        <w:t xml:space="preserve">The CSP would prefer to see a greater % of reward/penalty based ODIs, in line with Ofwat guidance, to improve accountability; although agrees that SESW has provided (ref Business Plan Chapter 2) appropriate justification as to why a financial reward/penalty is not sensible in each relevant case (13 out of 24 PC’s).  </w:t>
      </w:r>
    </w:p>
    <w:p w14:paraId="2F47FD37" w14:textId="77777777" w:rsidR="00082D1E" w:rsidRPr="00E343D2" w:rsidRDefault="00082D1E" w:rsidP="00572D79">
      <w:pPr>
        <w:pStyle w:val="ListParagraph"/>
        <w:numPr>
          <w:ilvl w:val="1"/>
          <w:numId w:val="5"/>
        </w:numPr>
        <w:spacing w:before="0" w:after="0" w:line="240" w:lineRule="auto"/>
        <w:ind w:left="851" w:hanging="425"/>
        <w:contextualSpacing/>
        <w:jc w:val="both"/>
        <w:rPr>
          <w:color w:val="000000" w:themeColor="text1"/>
          <w:sz w:val="24"/>
        </w:rPr>
      </w:pPr>
      <w:r w:rsidRPr="00E343D2">
        <w:rPr>
          <w:color w:val="000000" w:themeColor="text1"/>
          <w:sz w:val="24"/>
        </w:rPr>
        <w:t>SESW’s viewpoint is that reducing the number of commitments by removing some with non-financial incentives would set aside some customer priorities to meet the regulator’s assumptions (that financial incentives should be the default), and SESW conclude that that this would not be appropriate.</w:t>
      </w:r>
    </w:p>
    <w:p w14:paraId="77C9FF51" w14:textId="77777777" w:rsidR="00082D1E" w:rsidRPr="00E343D2" w:rsidRDefault="00082D1E" w:rsidP="00572D79">
      <w:pPr>
        <w:pStyle w:val="ListParagraph"/>
        <w:numPr>
          <w:ilvl w:val="0"/>
          <w:numId w:val="5"/>
        </w:numPr>
        <w:autoSpaceDE w:val="0"/>
        <w:autoSpaceDN w:val="0"/>
        <w:adjustRightInd w:val="0"/>
        <w:spacing w:before="0" w:after="0" w:line="240" w:lineRule="auto"/>
        <w:ind w:left="426" w:hanging="426"/>
        <w:contextualSpacing/>
        <w:jc w:val="both"/>
        <w:rPr>
          <w:color w:val="000000" w:themeColor="text1"/>
          <w:sz w:val="24"/>
        </w:rPr>
      </w:pPr>
      <w:r w:rsidRPr="00E343D2">
        <w:rPr>
          <w:color w:val="000000" w:themeColor="text1"/>
          <w:sz w:val="24"/>
        </w:rPr>
        <w:t xml:space="preserve">Despite a stretching PCC commitment (requiring high metering penetration), the level of PCC will remain high, and still be outside the forecast upper quartile at the end of the plan period. </w:t>
      </w:r>
      <w:r w:rsidRPr="00E343D2">
        <w:rPr>
          <w:sz w:val="24"/>
        </w:rPr>
        <w:t xml:space="preserve">It would seem unwarranted, therefore, to allow an “ODI reward” for exceeding a PCC target which still leaves SESW outside the upper quartile and thus it might be more appropriate to set a threshold of the upper quartile level to only allow a reward if that level is reached. </w:t>
      </w:r>
    </w:p>
    <w:p w14:paraId="1B54CC8D" w14:textId="77777777" w:rsidR="00082D1E" w:rsidRPr="00E343D2" w:rsidRDefault="00082D1E" w:rsidP="00572D79">
      <w:pPr>
        <w:pStyle w:val="ListParagraph"/>
        <w:numPr>
          <w:ilvl w:val="0"/>
          <w:numId w:val="5"/>
        </w:numPr>
        <w:autoSpaceDE w:val="0"/>
        <w:autoSpaceDN w:val="0"/>
        <w:adjustRightInd w:val="0"/>
        <w:spacing w:before="0" w:after="0" w:line="240" w:lineRule="auto"/>
        <w:ind w:left="426" w:hanging="426"/>
        <w:contextualSpacing/>
        <w:jc w:val="both"/>
        <w:rPr>
          <w:color w:val="000000" w:themeColor="text1"/>
          <w:sz w:val="24"/>
        </w:rPr>
      </w:pPr>
      <w:r w:rsidRPr="00E343D2">
        <w:rPr>
          <w:color w:val="000000" w:themeColor="text1"/>
          <w:sz w:val="24"/>
        </w:rPr>
        <w:t>While SESW has enhanced its commitment on reducing leakage, excessive leakage will remain a key customer concern (despite SESW being one of the best performing companies on leakage per property/day).</w:t>
      </w:r>
    </w:p>
    <w:p w14:paraId="1F37F5F2" w14:textId="77777777" w:rsidR="00082D1E" w:rsidRPr="00E343D2" w:rsidRDefault="00082D1E" w:rsidP="00572D79">
      <w:pPr>
        <w:pStyle w:val="Default"/>
        <w:numPr>
          <w:ilvl w:val="0"/>
          <w:numId w:val="6"/>
        </w:numPr>
        <w:ind w:left="426" w:hanging="426"/>
        <w:jc w:val="both"/>
        <w:rPr>
          <w:rFonts w:ascii="Arial" w:hAnsi="Arial" w:cs="Arial"/>
          <w:color w:val="000000" w:themeColor="text1"/>
          <w:szCs w:val="22"/>
        </w:rPr>
      </w:pPr>
      <w:r w:rsidRPr="00E343D2">
        <w:rPr>
          <w:rFonts w:ascii="Arial" w:hAnsi="Arial" w:cs="Arial"/>
          <w:color w:val="000000" w:themeColor="text1"/>
          <w:szCs w:val="22"/>
        </w:rPr>
        <w:t>SESW did not specifically test with customers any potential ODI reward/penalty impacts on the bill. SESW provided the rationale for this (ref section 3.7.2), but the CSP remains of the view that any bill impact of rewards/penalties above a net-zero is not justified based on customer evidence, and</w:t>
      </w:r>
      <w:r w:rsidRPr="00E343D2">
        <w:rPr>
          <w:rFonts w:ascii="Arial" w:hAnsi="Arial" w:cs="Arial"/>
          <w:szCs w:val="22"/>
        </w:rPr>
        <w:t xml:space="preserve"> it remains a non-conformance with Ofwat guidelines. </w:t>
      </w:r>
    </w:p>
    <w:p w14:paraId="40E30BA6" w14:textId="77777777" w:rsidR="00082D1E" w:rsidRPr="00E343D2" w:rsidRDefault="00082D1E" w:rsidP="00572D79">
      <w:pPr>
        <w:pStyle w:val="ListParagraph"/>
        <w:numPr>
          <w:ilvl w:val="0"/>
          <w:numId w:val="6"/>
        </w:numPr>
        <w:autoSpaceDE w:val="0"/>
        <w:autoSpaceDN w:val="0"/>
        <w:adjustRightInd w:val="0"/>
        <w:spacing w:before="0" w:after="0" w:line="240" w:lineRule="auto"/>
        <w:ind w:left="426" w:hanging="426"/>
        <w:contextualSpacing/>
        <w:jc w:val="both"/>
        <w:rPr>
          <w:color w:val="000000" w:themeColor="text1"/>
          <w:sz w:val="24"/>
        </w:rPr>
      </w:pPr>
      <w:r w:rsidRPr="00E343D2">
        <w:rPr>
          <w:sz w:val="24"/>
        </w:rPr>
        <w:t xml:space="preserve">The CSP recognised that Innovation is embedded in the culture of SESW and there is a sound strategy in place to empower staff to innovate which has led to incremental </w:t>
      </w:r>
      <w:r w:rsidRPr="00E343D2">
        <w:rPr>
          <w:color w:val="000000" w:themeColor="text1"/>
          <w:sz w:val="24"/>
        </w:rPr>
        <w:t xml:space="preserve">improvements in a variety of areas to strengthen the operation – although such improvements appear stronger in operational areas than in customer engagement. Although the final Business Plan does include some future customer service innovation initiatives, the CSP concludes that the Plan content could still cover a broader balance of non-operational (e.g. customer service, environment) initiatives versus the many (and good) operational initiatives. </w:t>
      </w:r>
    </w:p>
    <w:p w14:paraId="54B7B54A" w14:textId="6BC3D9B8" w:rsidR="00082D1E" w:rsidRPr="00E343D2" w:rsidRDefault="00082D1E" w:rsidP="00572D79">
      <w:pPr>
        <w:pStyle w:val="ListParagraph"/>
        <w:numPr>
          <w:ilvl w:val="0"/>
          <w:numId w:val="6"/>
        </w:numPr>
        <w:spacing w:before="0" w:after="0" w:line="240" w:lineRule="auto"/>
        <w:ind w:left="426" w:hanging="426"/>
        <w:contextualSpacing/>
        <w:jc w:val="both"/>
        <w:rPr>
          <w:color w:val="000000" w:themeColor="text1"/>
          <w:sz w:val="24"/>
        </w:rPr>
      </w:pPr>
      <w:r w:rsidRPr="00E343D2">
        <w:rPr>
          <w:color w:val="000000" w:themeColor="text1"/>
          <w:sz w:val="24"/>
        </w:rPr>
        <w:t>The Small Company premium, at £1.75, is a significant portion of the overall bill impact, and the CSP agrees there is customer support for this amount. The CSP considered, however, that the evidence and rationale supporting this could come out more consistently throughout the Plan, which SESW has now included in the final version of the Business Plan.</w:t>
      </w:r>
    </w:p>
    <w:p w14:paraId="26B2B9AB" w14:textId="77777777" w:rsidR="00082D1E" w:rsidRPr="00D33536" w:rsidRDefault="00082D1E" w:rsidP="00572D79">
      <w:pPr>
        <w:autoSpaceDE w:val="0"/>
        <w:autoSpaceDN w:val="0"/>
        <w:adjustRightInd w:val="0"/>
        <w:jc w:val="both"/>
        <w:rPr>
          <w:b/>
          <w:color w:val="000000" w:themeColor="text1"/>
        </w:rPr>
      </w:pPr>
      <w:r w:rsidRPr="00D33536">
        <w:rPr>
          <w:b/>
          <w:color w:val="000000" w:themeColor="text1"/>
        </w:rPr>
        <w:t>Graham Hanson</w:t>
      </w:r>
    </w:p>
    <w:p w14:paraId="60F0E31A" w14:textId="0565C4BF" w:rsidR="0098401A" w:rsidRPr="00082D1E" w:rsidRDefault="00082D1E" w:rsidP="00572D79">
      <w:pPr>
        <w:autoSpaceDE w:val="0"/>
        <w:autoSpaceDN w:val="0"/>
        <w:adjustRightInd w:val="0"/>
        <w:jc w:val="both"/>
        <w:rPr>
          <w:i/>
          <w:color w:val="000000" w:themeColor="text1"/>
        </w:rPr>
      </w:pPr>
      <w:r w:rsidRPr="00D33536">
        <w:rPr>
          <w:i/>
          <w:color w:val="000000" w:themeColor="text1"/>
        </w:rPr>
        <w:t>Chair, Customer Scrutiny Panel for SES Water</w:t>
      </w:r>
    </w:p>
    <w:p w14:paraId="4A2781FF" w14:textId="16803FF9" w:rsidR="0098401A" w:rsidRPr="004E411A" w:rsidRDefault="0098401A" w:rsidP="00AD06E4">
      <w:pPr>
        <w:tabs>
          <w:tab w:val="left" w:pos="3808"/>
        </w:tabs>
        <w:spacing w:before="0"/>
        <w:rPr>
          <w:rFonts w:asciiTheme="minorHAnsi" w:hAnsiTheme="minorHAnsi" w:cstheme="minorHAnsi"/>
          <w:b/>
          <w:szCs w:val="24"/>
        </w:rPr>
        <w:sectPr w:rsidR="0098401A" w:rsidRPr="004E411A" w:rsidSect="00E93F13">
          <w:headerReference w:type="first" r:id="rId20"/>
          <w:pgSz w:w="11906" w:h="16838" w:code="9"/>
          <w:pgMar w:top="1440" w:right="1440" w:bottom="1440" w:left="1440" w:header="709" w:footer="709" w:gutter="0"/>
          <w:cols w:space="708"/>
          <w:docGrid w:linePitch="360"/>
        </w:sectPr>
      </w:pPr>
    </w:p>
    <w:p w14:paraId="68B2F92A" w14:textId="6DDE3D6B" w:rsidR="0098401A" w:rsidRPr="00F45E79" w:rsidRDefault="00E402B3" w:rsidP="004448A4">
      <w:pPr>
        <w:pStyle w:val="Heading1"/>
      </w:pPr>
      <w:bookmarkStart w:id="28" w:name="_Toc510692489"/>
      <w:bookmarkStart w:id="29" w:name="_Toc523481608"/>
      <w:r>
        <w:lastRenderedPageBreak/>
        <w:t>Appendix</w:t>
      </w:r>
      <w:r w:rsidR="004B5A05">
        <w:t xml:space="preserve"> 4</w:t>
      </w:r>
      <w:r w:rsidR="00DF6029" w:rsidRPr="00F45E79">
        <w:t>: Current operational</w:t>
      </w:r>
      <w:r w:rsidR="0098401A" w:rsidRPr="00F45E79">
        <w:t xml:space="preserve"> performance</w:t>
      </w:r>
      <w:bookmarkEnd w:id="28"/>
      <w:bookmarkEnd w:id="29"/>
      <w:r w:rsidR="0098401A" w:rsidRPr="00F45E79">
        <w:t xml:space="preserve"> </w:t>
      </w:r>
      <w:r w:rsidR="003D7F92" w:rsidRPr="00F45E79">
        <w:tab/>
      </w:r>
    </w:p>
    <w:p w14:paraId="540EDBAC" w14:textId="7C300560" w:rsidR="00D928B7" w:rsidRDefault="00774B66" w:rsidP="001C4B73">
      <w:pPr>
        <w:pStyle w:val="Tableheading"/>
        <w:spacing w:after="0"/>
      </w:pPr>
      <w:r>
        <w:t>Table 4</w:t>
      </w:r>
      <w:r w:rsidR="00D928B7" w:rsidRPr="7E0B751E">
        <w:t xml:space="preserve">.1: </w:t>
      </w:r>
      <w:r w:rsidR="00880ECF">
        <w:t xml:space="preserve">PR14 </w:t>
      </w:r>
      <w:r w:rsidR="00D928B7" w:rsidRPr="7E0B751E">
        <w:t xml:space="preserve">Performance </w:t>
      </w:r>
      <w:r w:rsidR="00D928B7" w:rsidRPr="00007BDD">
        <w:t>Commitments</w:t>
      </w:r>
    </w:p>
    <w:p w14:paraId="1CD2649C" w14:textId="42584485" w:rsidR="001C4B73" w:rsidRPr="001C4B73" w:rsidRDefault="001C4B73" w:rsidP="001C4B73">
      <w:pPr>
        <w:spacing w:before="240" w:after="240"/>
        <w:rPr>
          <w:rFonts w:asciiTheme="minorHAnsi" w:eastAsiaTheme="minorEastAsia" w:hAnsiTheme="minorHAnsi"/>
        </w:rPr>
      </w:pPr>
      <w:r w:rsidRPr="4E03F48D">
        <w:rPr>
          <w:rFonts w:asciiTheme="minorHAnsi" w:eastAsiaTheme="minorEastAsia" w:hAnsiTheme="minorHAnsi"/>
        </w:rPr>
        <w:t xml:space="preserve">Please indicate in the table below which PR14 performance commitments have been met and which have not been met over the PR14 period. </w:t>
      </w:r>
      <w:r w:rsidR="00572A6A" w:rsidRPr="4E03F48D">
        <w:rPr>
          <w:rFonts w:asciiTheme="minorHAnsi" w:eastAsiaTheme="minorEastAsia" w:hAnsiTheme="minorHAnsi"/>
        </w:rPr>
        <w:t xml:space="preserve">This table is not for </w:t>
      </w:r>
      <w:r w:rsidR="0069454F" w:rsidRPr="4E03F48D">
        <w:rPr>
          <w:rFonts w:asciiTheme="minorHAnsi" w:eastAsiaTheme="minorEastAsia" w:hAnsiTheme="minorHAnsi"/>
        </w:rPr>
        <w:t>Service Incentive Mechanism (</w:t>
      </w:r>
      <w:r w:rsidR="00572A6A" w:rsidRPr="4E03F48D">
        <w:rPr>
          <w:rFonts w:asciiTheme="minorHAnsi" w:eastAsiaTheme="minorEastAsia" w:hAnsiTheme="minorHAnsi"/>
        </w:rPr>
        <w:t>SIM</w:t>
      </w:r>
      <w:r w:rsidR="0069454F" w:rsidRPr="4E03F48D">
        <w:rPr>
          <w:rFonts w:asciiTheme="minorHAnsi" w:eastAsiaTheme="minorEastAsia" w:hAnsiTheme="minorHAnsi"/>
        </w:rPr>
        <w:t>)</w:t>
      </w:r>
      <w:r w:rsidR="00572A6A" w:rsidRPr="4E03F48D">
        <w:rPr>
          <w:rFonts w:asciiTheme="minorHAnsi" w:eastAsiaTheme="minorEastAsia" w:hAnsiTheme="minorHAnsi"/>
        </w:rPr>
        <w:t xml:space="preserve"> data, for which table 4.2 has been provided. </w:t>
      </w:r>
      <w:r w:rsidRPr="4E03F48D">
        <w:rPr>
          <w:rFonts w:asciiTheme="minorHAnsi" w:eastAsiaTheme="minorEastAsia" w:hAnsiTheme="minorHAnsi"/>
        </w:rPr>
        <w:t>For financial ODIs please also indicate total forecast outperformance payment or underperformance penalty for the PR14 period.</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508"/>
        <w:gridCol w:w="815"/>
        <w:gridCol w:w="5566"/>
        <w:gridCol w:w="937"/>
        <w:gridCol w:w="914"/>
        <w:gridCol w:w="848"/>
        <w:gridCol w:w="848"/>
        <w:gridCol w:w="849"/>
        <w:gridCol w:w="1326"/>
        <w:gridCol w:w="1327"/>
      </w:tblGrid>
      <w:tr w:rsidR="00E90A7E" w:rsidRPr="003C5605" w14:paraId="5716D9C4" w14:textId="715C1484" w:rsidTr="007A4C0A">
        <w:trPr>
          <w:trHeight w:val="450"/>
          <w:tblHeader/>
        </w:trPr>
        <w:tc>
          <w:tcPr>
            <w:tcW w:w="511" w:type="dxa"/>
            <w:vMerge w:val="restart"/>
            <w:shd w:val="clear" w:color="auto" w:fill="E0DCD8"/>
            <w:tcMar>
              <w:top w:w="15" w:type="dxa"/>
              <w:left w:w="54" w:type="dxa"/>
              <w:bottom w:w="0" w:type="dxa"/>
              <w:right w:w="54" w:type="dxa"/>
            </w:tcMar>
            <w:vAlign w:val="center"/>
            <w:hideMark/>
          </w:tcPr>
          <w:p w14:paraId="73215643" w14:textId="77777777" w:rsidR="00E90A7E" w:rsidRPr="003C5605" w:rsidRDefault="00E90A7E" w:rsidP="00AA563D">
            <w:pPr>
              <w:spacing w:before="8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No.</w:t>
            </w:r>
          </w:p>
          <w:p w14:paraId="49C8A6E7" w14:textId="476A00A9" w:rsidR="00E90A7E" w:rsidRPr="003C5605" w:rsidRDefault="00E90A7E" w:rsidP="00560FBB">
            <w:pPr>
              <w:spacing w:before="40" w:after="40" w:line="240" w:lineRule="auto"/>
              <w:rPr>
                <w:rFonts w:ascii="Franklin Gothic Demi" w:eastAsia="Times New Roman" w:hAnsi="Franklin Gothic Demi"/>
                <w:color w:val="0078C9"/>
                <w:lang w:eastAsia="en-GB"/>
              </w:rPr>
            </w:pPr>
          </w:p>
        </w:tc>
        <w:tc>
          <w:tcPr>
            <w:tcW w:w="820" w:type="dxa"/>
            <w:vMerge w:val="restart"/>
            <w:shd w:val="clear" w:color="auto" w:fill="E0DCD8"/>
            <w:vAlign w:val="center"/>
          </w:tcPr>
          <w:p w14:paraId="7E9DD92C" w14:textId="77777777" w:rsidR="00E90A7E" w:rsidRDefault="00E90A7E" w:rsidP="00EB2784">
            <w:pPr>
              <w:spacing w:before="80" w:after="0" w:line="252" w:lineRule="auto"/>
              <w:rPr>
                <w:rFonts w:ascii="Franklin Gothic Demi" w:eastAsia="Times New Roman" w:hAnsi="Franklin Gothic Demi"/>
                <w:bCs/>
                <w:color w:val="0078C9"/>
                <w:kern w:val="24"/>
                <w:lang w:eastAsia="en-GB"/>
              </w:rPr>
            </w:pPr>
          </w:p>
          <w:p w14:paraId="5C150E36" w14:textId="77777777" w:rsidR="00E90A7E" w:rsidRDefault="00E90A7E" w:rsidP="00EB2784">
            <w:pPr>
              <w:spacing w:before="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ID</w:t>
            </w:r>
          </w:p>
          <w:p w14:paraId="6F6F48F0" w14:textId="2B4771CD" w:rsidR="00E90A7E" w:rsidRPr="00EB2784" w:rsidRDefault="00E90A7E" w:rsidP="00EB2784">
            <w:pPr>
              <w:spacing w:before="80" w:after="80" w:line="252" w:lineRule="auto"/>
              <w:rPr>
                <w:rFonts w:ascii="Arial,Times New Roman" w:eastAsia="Arial,Times New Roman" w:hAnsi="Arial,Times New Roman" w:cs="Arial,Times New Roman"/>
                <w:color w:val="0078C9" w:themeColor="accent1"/>
                <w:sz w:val="18"/>
                <w:szCs w:val="18"/>
                <w:lang w:eastAsia="en-GB"/>
              </w:rPr>
            </w:pPr>
            <w:r w:rsidRPr="4E03F48D">
              <w:rPr>
                <w:color w:val="0078C9"/>
                <w:kern w:val="24"/>
                <w:sz w:val="18"/>
                <w:szCs w:val="18"/>
                <w:lang w:eastAsia="en-GB"/>
              </w:rPr>
              <w:t>(</w:t>
            </w:r>
            <w:proofErr w:type="spellStart"/>
            <w:r w:rsidRPr="4E03F48D">
              <w:rPr>
                <w:color w:val="0078C9"/>
                <w:kern w:val="24"/>
                <w:sz w:val="18"/>
                <w:szCs w:val="18"/>
                <w:lang w:eastAsia="en-GB"/>
              </w:rPr>
              <w:t>eg</w:t>
            </w:r>
            <w:proofErr w:type="spellEnd"/>
            <w:r w:rsidRPr="4E03F48D">
              <w:rPr>
                <w:color w:val="0078C9"/>
                <w:kern w:val="24"/>
                <w:sz w:val="18"/>
                <w:szCs w:val="18"/>
                <w:lang w:eastAsia="en-GB"/>
              </w:rPr>
              <w:t xml:space="preserve"> W-A1)</w:t>
            </w:r>
          </w:p>
        </w:tc>
        <w:tc>
          <w:tcPr>
            <w:tcW w:w="5601" w:type="dxa"/>
            <w:vMerge w:val="restart"/>
            <w:shd w:val="clear" w:color="auto" w:fill="E0DCD8"/>
            <w:tcMar>
              <w:top w:w="15" w:type="dxa"/>
              <w:left w:w="54" w:type="dxa"/>
              <w:bottom w:w="0" w:type="dxa"/>
              <w:right w:w="54" w:type="dxa"/>
            </w:tcMar>
            <w:vAlign w:val="center"/>
            <w:hideMark/>
          </w:tcPr>
          <w:p w14:paraId="31B7D2B9" w14:textId="2B2DEDAD" w:rsidR="00E90A7E" w:rsidRPr="003C5605" w:rsidRDefault="00E90A7E" w:rsidP="00560FBB">
            <w:pPr>
              <w:spacing w:before="80" w:after="8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kern w:val="24"/>
                <w:lang w:eastAsia="en-GB"/>
              </w:rPr>
              <w:t>Performance commitment</w:t>
            </w:r>
          </w:p>
        </w:tc>
        <w:tc>
          <w:tcPr>
            <w:tcW w:w="942" w:type="dxa"/>
            <w:vMerge w:val="restart"/>
            <w:shd w:val="clear" w:color="auto" w:fill="E0DCD8"/>
            <w:tcMar>
              <w:top w:w="15" w:type="dxa"/>
              <w:left w:w="54" w:type="dxa"/>
              <w:bottom w:w="0" w:type="dxa"/>
              <w:right w:w="54" w:type="dxa"/>
            </w:tcMar>
            <w:vAlign w:val="center"/>
            <w:hideMark/>
          </w:tcPr>
          <w:p w14:paraId="23A36CF9" w14:textId="77777777" w:rsidR="00E90A7E" w:rsidRDefault="00E90A7E" w:rsidP="00AA2BE9">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2015-16</w:t>
            </w:r>
          </w:p>
          <w:p w14:paraId="6FB67488" w14:textId="77777777" w:rsidR="00E90A7E" w:rsidRPr="003C5605" w:rsidRDefault="00E90A7E" w:rsidP="00AA2BE9">
            <w:pPr>
              <w:spacing w:before="0" w:after="0" w:line="252" w:lineRule="auto"/>
              <w:jc w:val="center"/>
              <w:rPr>
                <w:rFonts w:eastAsia="Times New Roman" w:cs="Arial"/>
                <w:color w:val="0078C9"/>
                <w:sz w:val="16"/>
                <w:szCs w:val="16"/>
                <w:lang w:eastAsia="en-GB"/>
              </w:rPr>
            </w:pPr>
          </w:p>
          <w:p w14:paraId="04086DBD" w14:textId="6D8D6102" w:rsidR="00E90A7E" w:rsidRPr="003C5605" w:rsidRDefault="00E90A7E" w:rsidP="00AA2BE9">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sz w:val="18"/>
                <w:szCs w:val="18"/>
                <w:lang w:eastAsia="en-GB"/>
              </w:rPr>
              <w:t>PCL met?</w:t>
            </w:r>
            <w:r w:rsidRPr="4E03F48D">
              <w:rPr>
                <w:rStyle w:val="FootnoteReference"/>
                <w:rFonts w:ascii="Arial,Times New Roman" w:eastAsia="Arial,Times New Roman" w:hAnsi="Arial,Times New Roman" w:cs="Arial,Times New Roman"/>
                <w:color w:val="0078C9"/>
                <w:sz w:val="18"/>
                <w:szCs w:val="18"/>
                <w:lang w:eastAsia="en-GB"/>
              </w:rPr>
              <w:footnoteReference w:id="5"/>
            </w:r>
          </w:p>
        </w:tc>
        <w:tc>
          <w:tcPr>
            <w:tcW w:w="919" w:type="dxa"/>
            <w:vMerge w:val="restart"/>
            <w:shd w:val="clear" w:color="auto" w:fill="E0DCD8"/>
            <w:tcMar>
              <w:top w:w="15" w:type="dxa"/>
              <w:left w:w="54" w:type="dxa"/>
              <w:bottom w:w="0" w:type="dxa"/>
              <w:right w:w="54" w:type="dxa"/>
            </w:tcMar>
            <w:vAlign w:val="center"/>
          </w:tcPr>
          <w:p w14:paraId="7E389456" w14:textId="49681302" w:rsidR="00E90A7E" w:rsidRDefault="00E90A7E" w:rsidP="00AA2BE9">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2016-17</w:t>
            </w:r>
          </w:p>
          <w:p w14:paraId="5B9FB4B5" w14:textId="77777777" w:rsidR="00E90A7E" w:rsidRPr="003C5605" w:rsidRDefault="00E90A7E" w:rsidP="00AA2BE9">
            <w:pPr>
              <w:spacing w:before="0" w:after="0" w:line="252" w:lineRule="auto"/>
              <w:jc w:val="center"/>
              <w:rPr>
                <w:rFonts w:eastAsia="Times New Roman" w:cs="Arial"/>
                <w:color w:val="0078C9"/>
                <w:sz w:val="16"/>
                <w:szCs w:val="16"/>
                <w:lang w:eastAsia="en-GB"/>
              </w:rPr>
            </w:pPr>
          </w:p>
          <w:p w14:paraId="692A677D" w14:textId="70279B2B" w:rsidR="00E90A7E" w:rsidRPr="003C5605" w:rsidRDefault="00E90A7E" w:rsidP="00AA2BE9">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themeColor="accent1"/>
                <w:sz w:val="18"/>
                <w:szCs w:val="18"/>
                <w:lang w:eastAsia="en-GB"/>
              </w:rPr>
              <w:t>PCL met?</w:t>
            </w:r>
          </w:p>
        </w:tc>
        <w:tc>
          <w:tcPr>
            <w:tcW w:w="853" w:type="dxa"/>
            <w:vMerge w:val="restart"/>
            <w:shd w:val="clear" w:color="auto" w:fill="E0DCD8"/>
            <w:vAlign w:val="center"/>
          </w:tcPr>
          <w:p w14:paraId="167FC915" w14:textId="3CA58D22"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2017-18</w:t>
            </w:r>
          </w:p>
          <w:p w14:paraId="3F51F3FC"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1AD124D1" w14:textId="083A8703" w:rsidR="00E90A7E" w:rsidRPr="003C5605" w:rsidRDefault="00E90A7E" w:rsidP="00E51E9B">
            <w:pPr>
              <w:spacing w:before="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color w:val="0078C9" w:themeColor="accent1"/>
                <w:sz w:val="18"/>
                <w:szCs w:val="18"/>
                <w:lang w:eastAsia="en-GB"/>
              </w:rPr>
              <w:t>PCL met?</w:t>
            </w:r>
          </w:p>
        </w:tc>
        <w:tc>
          <w:tcPr>
            <w:tcW w:w="853" w:type="dxa"/>
            <w:vMerge w:val="restart"/>
            <w:shd w:val="clear" w:color="auto" w:fill="E0DCD8"/>
            <w:vAlign w:val="center"/>
          </w:tcPr>
          <w:p w14:paraId="5A798DF5" w14:textId="77777777" w:rsidR="00E90A7E" w:rsidRDefault="00E90A7E" w:rsidP="003C5605">
            <w:pPr>
              <w:spacing w:before="80" w:after="0" w:line="252" w:lineRule="auto"/>
              <w:jc w:val="center"/>
              <w:rPr>
                <w:rFonts w:ascii="Franklin Gothic Demi" w:eastAsia="Times New Roman" w:hAnsi="Franklin Gothic Demi"/>
                <w:bCs/>
                <w:color w:val="0078C9"/>
                <w:kern w:val="24"/>
                <w:sz w:val="20"/>
                <w:szCs w:val="20"/>
                <w:lang w:eastAsia="en-GB"/>
              </w:rPr>
            </w:pPr>
          </w:p>
          <w:p w14:paraId="2ADD277D" w14:textId="1432DD1C"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2018-19</w:t>
            </w:r>
          </w:p>
          <w:p w14:paraId="0140B8B0"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4D92F82B" w14:textId="35C8267E" w:rsidR="00E90A7E" w:rsidRDefault="00E90A7E" w:rsidP="00E51E9B">
            <w:pPr>
              <w:spacing w:before="0" w:after="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PCL met?</w:t>
            </w:r>
          </w:p>
          <w:p w14:paraId="647E29CF" w14:textId="021C3FC8" w:rsidR="00E90A7E" w:rsidRPr="003C5605" w:rsidRDefault="00E90A7E" w:rsidP="003C5605">
            <w:pPr>
              <w:spacing w:before="0" w:after="8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(forecast)</w:t>
            </w:r>
          </w:p>
        </w:tc>
        <w:tc>
          <w:tcPr>
            <w:tcW w:w="854" w:type="dxa"/>
            <w:vMerge w:val="restart"/>
            <w:shd w:val="clear" w:color="auto" w:fill="E0DCD8"/>
            <w:vAlign w:val="center"/>
          </w:tcPr>
          <w:p w14:paraId="62D45732" w14:textId="77777777" w:rsidR="00E90A7E" w:rsidRDefault="00E90A7E" w:rsidP="003C5605">
            <w:pPr>
              <w:spacing w:before="80" w:after="0" w:line="252" w:lineRule="auto"/>
              <w:jc w:val="center"/>
              <w:rPr>
                <w:rFonts w:ascii="Franklin Gothic Demi" w:eastAsia="Times New Roman" w:hAnsi="Franklin Gothic Demi"/>
                <w:bCs/>
                <w:color w:val="0078C9"/>
                <w:kern w:val="24"/>
                <w:sz w:val="20"/>
                <w:szCs w:val="20"/>
                <w:lang w:eastAsia="en-GB"/>
              </w:rPr>
            </w:pPr>
          </w:p>
          <w:p w14:paraId="6D7BC4AA" w14:textId="7F0CA04A" w:rsidR="00E90A7E" w:rsidRDefault="00E90A7E" w:rsidP="003C5605">
            <w:pPr>
              <w:spacing w:before="80" w:after="0" w:line="252" w:lineRule="auto"/>
              <w:jc w:val="center"/>
              <w:rPr>
                <w:rFonts w:ascii="Franklin Gothic Demi,Times New" w:eastAsia="Franklin Gothic Demi,Times New" w:hAnsi="Franklin Gothic Demi,Times New" w:cs="Franklin Gothic Demi,Times New"/>
                <w:color w:val="0078C9" w:themeColor="accent1"/>
                <w:sz w:val="20"/>
                <w:szCs w:val="20"/>
                <w:lang w:eastAsia="en-GB"/>
              </w:rPr>
            </w:pPr>
            <w:r w:rsidRPr="4E03F48D">
              <w:rPr>
                <w:rFonts w:ascii="Franklin Gothic Demi" w:eastAsia="Franklin Gothic Demi" w:hAnsi="Franklin Gothic Demi" w:cs="Franklin Gothic Demi"/>
                <w:color w:val="0078C9"/>
                <w:kern w:val="24"/>
                <w:sz w:val="20"/>
                <w:szCs w:val="20"/>
                <w:lang w:eastAsia="en-GB"/>
              </w:rPr>
              <w:t>2019</w:t>
            </w:r>
            <w:r w:rsidRPr="4E03F48D">
              <w:rPr>
                <w:rFonts w:ascii="Franklin Gothic Demi,Times New" w:eastAsia="Franklin Gothic Demi,Times New" w:hAnsi="Franklin Gothic Demi,Times New" w:cs="Franklin Gothic Demi,Times New"/>
                <w:color w:val="0078C9"/>
                <w:kern w:val="24"/>
                <w:sz w:val="20"/>
                <w:szCs w:val="20"/>
                <w:lang w:eastAsia="en-GB"/>
              </w:rPr>
              <w:t>-</w:t>
            </w:r>
            <w:r w:rsidRPr="4E03F48D">
              <w:rPr>
                <w:rFonts w:ascii="Franklin Gothic Demi" w:eastAsia="Franklin Gothic Demi" w:hAnsi="Franklin Gothic Demi" w:cs="Franklin Gothic Demi"/>
                <w:color w:val="0078C9"/>
                <w:kern w:val="24"/>
                <w:sz w:val="20"/>
                <w:szCs w:val="20"/>
                <w:lang w:eastAsia="en-GB"/>
              </w:rPr>
              <w:t>20</w:t>
            </w:r>
          </w:p>
          <w:p w14:paraId="40348CEB" w14:textId="77777777" w:rsidR="00E90A7E" w:rsidRPr="003C5605" w:rsidRDefault="00E90A7E" w:rsidP="003C5605">
            <w:pPr>
              <w:spacing w:before="0" w:after="0" w:line="252" w:lineRule="auto"/>
              <w:jc w:val="center"/>
              <w:rPr>
                <w:rFonts w:eastAsia="Times New Roman" w:cs="Arial"/>
                <w:color w:val="0078C9"/>
                <w:sz w:val="16"/>
                <w:szCs w:val="16"/>
                <w:lang w:eastAsia="en-GB"/>
              </w:rPr>
            </w:pPr>
          </w:p>
          <w:p w14:paraId="44E316FB" w14:textId="7BFE38C2" w:rsidR="00E90A7E" w:rsidRDefault="00E90A7E" w:rsidP="00E51E9B">
            <w:pPr>
              <w:spacing w:before="0" w:after="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PCL met?</w:t>
            </w:r>
          </w:p>
          <w:p w14:paraId="7D5595B5" w14:textId="209C04BF" w:rsidR="00E90A7E" w:rsidRPr="003C5605" w:rsidRDefault="00E90A7E" w:rsidP="003C5605">
            <w:pPr>
              <w:spacing w:before="0" w:after="80" w:line="252" w:lineRule="auto"/>
              <w:jc w:val="center"/>
              <w:rPr>
                <w:rFonts w:ascii="Arial,Times New Roman" w:eastAsia="Arial,Times New Roman" w:hAnsi="Arial,Times New Roman" w:cs="Arial,Times New Roman"/>
                <w:color w:val="0078C9" w:themeColor="accent1"/>
                <w:sz w:val="18"/>
                <w:szCs w:val="18"/>
                <w:lang w:eastAsia="en-GB"/>
              </w:rPr>
            </w:pPr>
            <w:r w:rsidRPr="4E03F48D">
              <w:rPr>
                <w:color w:val="0078C9" w:themeColor="accent1"/>
                <w:sz w:val="18"/>
                <w:szCs w:val="18"/>
                <w:lang w:eastAsia="en-GB"/>
              </w:rPr>
              <w:t>(forecast)</w:t>
            </w:r>
          </w:p>
        </w:tc>
        <w:tc>
          <w:tcPr>
            <w:tcW w:w="2669" w:type="dxa"/>
            <w:gridSpan w:val="2"/>
            <w:shd w:val="clear" w:color="auto" w:fill="E0DCD8"/>
            <w:vAlign w:val="center"/>
          </w:tcPr>
          <w:p w14:paraId="2CB9AF54" w14:textId="0F1F2927" w:rsidR="00E90A7E" w:rsidRDefault="00E90A7E" w:rsidP="00E51E9B">
            <w:pPr>
              <w:spacing w:before="80" w:after="80" w:line="252" w:lineRule="auto"/>
              <w:ind w:right="113"/>
              <w:jc w:val="right"/>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Cumulative ODI</w:t>
            </w:r>
          </w:p>
          <w:p w14:paraId="2C9CF011" w14:textId="276F95FC" w:rsidR="00E90A7E" w:rsidRPr="003C5605" w:rsidRDefault="00E90A7E" w:rsidP="00E51E9B">
            <w:pPr>
              <w:spacing w:before="80" w:after="8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(outperformance payment</w:t>
            </w:r>
            <w:r w:rsidR="00880ECF" w:rsidRPr="4E03F48D">
              <w:rPr>
                <w:color w:val="0078C9"/>
                <w:kern w:val="24"/>
                <w:sz w:val="20"/>
                <w:szCs w:val="20"/>
                <w:lang w:eastAsia="en-GB"/>
              </w:rPr>
              <w:t>s or underperformance penalties</w:t>
            </w:r>
            <w:r w:rsidRPr="4E03F48D">
              <w:rPr>
                <w:rFonts w:ascii="Arial,Times New Roman" w:eastAsia="Arial,Times New Roman" w:hAnsi="Arial,Times New Roman" w:cs="Arial,Times New Roman"/>
                <w:color w:val="0078C9"/>
                <w:kern w:val="24"/>
                <w:sz w:val="20"/>
                <w:szCs w:val="20"/>
                <w:lang w:eastAsia="en-GB"/>
              </w:rPr>
              <w:t>)</w:t>
            </w:r>
          </w:p>
          <w:p w14:paraId="2E6AAF75" w14:textId="77777777" w:rsidR="00E90A7E" w:rsidRDefault="00E90A7E" w:rsidP="00E51E9B">
            <w:pPr>
              <w:spacing w:before="80" w:after="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£m to 4 decimal places</w:t>
            </w:r>
          </w:p>
          <w:p w14:paraId="748BEE7B" w14:textId="395ED3EA" w:rsidR="00E90A7E" w:rsidRPr="003C5605" w:rsidRDefault="00E90A7E" w:rsidP="00E51E9B">
            <w:pPr>
              <w:spacing w:before="0" w:after="80" w:line="252" w:lineRule="auto"/>
              <w:ind w:right="113"/>
              <w:jc w:val="right"/>
              <w:rPr>
                <w:rFonts w:ascii="Arial,Times New Roman" w:eastAsia="Arial,Times New Roman" w:hAnsi="Arial,Times New Roman" w:cs="Arial,Times New Roman"/>
                <w:color w:val="0078C9" w:themeColor="accent1"/>
                <w:sz w:val="20"/>
                <w:szCs w:val="20"/>
                <w:lang w:eastAsia="en-GB"/>
              </w:rPr>
            </w:pPr>
            <w:r w:rsidRPr="4E03F48D">
              <w:rPr>
                <w:color w:val="0078C9"/>
                <w:kern w:val="24"/>
                <w:sz w:val="20"/>
                <w:szCs w:val="20"/>
                <w:lang w:eastAsia="en-GB"/>
              </w:rPr>
              <w:t>2012-13 prices, net of tax</w:t>
            </w:r>
          </w:p>
        </w:tc>
      </w:tr>
      <w:tr w:rsidR="00E90A7E" w:rsidRPr="003C5605" w14:paraId="27E4AE56" w14:textId="77777777" w:rsidTr="007A4C0A">
        <w:trPr>
          <w:trHeight w:val="166"/>
        </w:trPr>
        <w:tc>
          <w:tcPr>
            <w:tcW w:w="511" w:type="dxa"/>
            <w:vMerge/>
            <w:shd w:val="clear" w:color="auto" w:fill="auto"/>
            <w:tcMar>
              <w:top w:w="15" w:type="dxa"/>
              <w:left w:w="54" w:type="dxa"/>
              <w:bottom w:w="0" w:type="dxa"/>
              <w:right w:w="54" w:type="dxa"/>
            </w:tcMar>
          </w:tcPr>
          <w:p w14:paraId="4EB4F560" w14:textId="345F2971" w:rsidR="00E90A7E" w:rsidRDefault="00E90A7E" w:rsidP="00560FBB">
            <w:pPr>
              <w:spacing w:before="40" w:after="40" w:line="240" w:lineRule="auto"/>
              <w:rPr>
                <w:rFonts w:eastAsia="Times New Roman" w:cs="Arial"/>
                <w:sz w:val="20"/>
                <w:szCs w:val="20"/>
                <w:lang w:eastAsia="en-GB"/>
              </w:rPr>
            </w:pPr>
          </w:p>
        </w:tc>
        <w:tc>
          <w:tcPr>
            <w:tcW w:w="820" w:type="dxa"/>
            <w:vMerge/>
            <w:shd w:val="clear" w:color="auto" w:fill="auto"/>
          </w:tcPr>
          <w:p w14:paraId="0F365120" w14:textId="77777777" w:rsidR="00E90A7E" w:rsidRPr="003C5605" w:rsidRDefault="00E90A7E" w:rsidP="00560FBB">
            <w:pPr>
              <w:spacing w:before="40" w:after="40" w:line="240" w:lineRule="auto"/>
              <w:rPr>
                <w:rFonts w:eastAsia="Times New Roman" w:cs="Arial"/>
                <w:sz w:val="20"/>
                <w:szCs w:val="20"/>
                <w:lang w:eastAsia="en-GB"/>
              </w:rPr>
            </w:pPr>
          </w:p>
        </w:tc>
        <w:tc>
          <w:tcPr>
            <w:tcW w:w="5601" w:type="dxa"/>
            <w:vMerge/>
            <w:shd w:val="clear" w:color="auto" w:fill="auto"/>
            <w:tcMar>
              <w:top w:w="15" w:type="dxa"/>
              <w:left w:w="54" w:type="dxa"/>
              <w:bottom w:w="0" w:type="dxa"/>
              <w:right w:w="54" w:type="dxa"/>
            </w:tcMar>
          </w:tcPr>
          <w:p w14:paraId="31D2E5A8" w14:textId="77777777" w:rsidR="00E90A7E" w:rsidRPr="003C5605" w:rsidRDefault="00E90A7E" w:rsidP="00560FBB">
            <w:pPr>
              <w:spacing w:before="40" w:after="40" w:line="240" w:lineRule="auto"/>
              <w:rPr>
                <w:rFonts w:eastAsia="Times New Roman" w:cs="Arial"/>
                <w:sz w:val="20"/>
                <w:szCs w:val="20"/>
                <w:lang w:eastAsia="en-GB"/>
              </w:rPr>
            </w:pPr>
          </w:p>
        </w:tc>
        <w:tc>
          <w:tcPr>
            <w:tcW w:w="942" w:type="dxa"/>
            <w:vMerge/>
            <w:shd w:val="clear" w:color="auto" w:fill="auto"/>
            <w:tcMar>
              <w:top w:w="15" w:type="dxa"/>
              <w:left w:w="54" w:type="dxa"/>
              <w:bottom w:w="0" w:type="dxa"/>
              <w:right w:w="54" w:type="dxa"/>
            </w:tcMar>
          </w:tcPr>
          <w:p w14:paraId="02C13E3E"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919" w:type="dxa"/>
            <w:vMerge/>
            <w:shd w:val="clear" w:color="auto" w:fill="auto"/>
            <w:tcMar>
              <w:top w:w="15" w:type="dxa"/>
              <w:left w:w="54" w:type="dxa"/>
              <w:bottom w:w="0" w:type="dxa"/>
              <w:right w:w="54" w:type="dxa"/>
            </w:tcMar>
          </w:tcPr>
          <w:p w14:paraId="4A7D8CB1"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53" w:type="dxa"/>
            <w:vMerge/>
            <w:shd w:val="clear" w:color="auto" w:fill="auto"/>
          </w:tcPr>
          <w:p w14:paraId="4D8B36AC"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53" w:type="dxa"/>
            <w:vMerge/>
            <w:shd w:val="clear" w:color="auto" w:fill="auto"/>
          </w:tcPr>
          <w:p w14:paraId="70BD4331"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854" w:type="dxa"/>
            <w:vMerge/>
            <w:shd w:val="clear" w:color="auto" w:fill="auto"/>
          </w:tcPr>
          <w:p w14:paraId="27C79F6B" w14:textId="77777777" w:rsidR="00E90A7E" w:rsidRPr="003C5605" w:rsidRDefault="00E90A7E" w:rsidP="00560FBB">
            <w:pPr>
              <w:spacing w:before="40" w:after="40" w:line="240" w:lineRule="auto"/>
              <w:jc w:val="center"/>
              <w:rPr>
                <w:rFonts w:eastAsia="Times New Roman" w:cs="Arial"/>
                <w:sz w:val="20"/>
                <w:szCs w:val="20"/>
                <w:lang w:eastAsia="en-GB"/>
              </w:rPr>
            </w:pPr>
          </w:p>
        </w:tc>
        <w:tc>
          <w:tcPr>
            <w:tcW w:w="1334" w:type="dxa"/>
            <w:shd w:val="clear" w:color="auto" w:fill="auto"/>
          </w:tcPr>
          <w:p w14:paraId="303BA603" w14:textId="2D9DD24F" w:rsidR="00E90A7E" w:rsidRDefault="00E90A7E" w:rsidP="00816503">
            <w:pPr>
              <w:spacing w:before="80" w:after="0" w:line="276" w:lineRule="auto"/>
              <w:jc w:val="center"/>
              <w:rPr>
                <w:rFonts w:ascii="Arial,Times New Roman" w:eastAsia="Arial,Times New Roman" w:hAnsi="Arial,Times New Roman" w:cs="Arial,Times New Roman"/>
                <w:sz w:val="20"/>
                <w:szCs w:val="20"/>
                <w:lang w:eastAsia="en-GB"/>
              </w:rPr>
            </w:pPr>
            <w:r w:rsidRPr="4E03F48D">
              <w:rPr>
                <w:rFonts w:asciiTheme="minorHAnsi" w:eastAsiaTheme="minorEastAsia" w:hAnsiTheme="minorHAnsi"/>
                <w:b/>
                <w:color w:val="0078C9" w:themeColor="accent1"/>
                <w:sz w:val="22"/>
                <w:lang w:eastAsia="en-GB"/>
              </w:rPr>
              <w:t>15/16-17/18 Actual</w:t>
            </w:r>
          </w:p>
        </w:tc>
        <w:tc>
          <w:tcPr>
            <w:tcW w:w="1335" w:type="dxa"/>
            <w:shd w:val="clear" w:color="auto" w:fill="auto"/>
          </w:tcPr>
          <w:p w14:paraId="7049F969" w14:textId="77777777" w:rsidR="00E90A7E" w:rsidRDefault="00E90A7E" w:rsidP="00E90A7E">
            <w:pPr>
              <w:spacing w:before="80" w:after="0" w:line="252" w:lineRule="auto"/>
              <w:jc w:val="center"/>
              <w:rPr>
                <w:rFonts w:asciiTheme="minorHAnsi" w:eastAsiaTheme="minorEastAsia" w:hAnsiTheme="minorHAnsi"/>
                <w:b/>
                <w:color w:val="0078C9" w:themeColor="accent1"/>
                <w:sz w:val="22"/>
                <w:lang w:eastAsia="en-GB"/>
              </w:rPr>
            </w:pPr>
            <w:r w:rsidRPr="4E03F48D">
              <w:rPr>
                <w:rFonts w:asciiTheme="minorHAnsi" w:eastAsiaTheme="minorEastAsia" w:hAnsiTheme="minorHAnsi"/>
                <w:b/>
                <w:color w:val="0078C9" w:themeColor="accent1"/>
                <w:sz w:val="22"/>
                <w:lang w:eastAsia="en-GB"/>
              </w:rPr>
              <w:t>18/19-19/20</w:t>
            </w:r>
          </w:p>
          <w:p w14:paraId="7B5C8845" w14:textId="60F23371" w:rsidR="00E90A7E" w:rsidRPr="003C5605" w:rsidRDefault="00E90A7E" w:rsidP="00E90A7E">
            <w:pPr>
              <w:spacing w:before="80" w:after="0" w:line="252" w:lineRule="auto"/>
              <w:jc w:val="center"/>
              <w:rPr>
                <w:rFonts w:ascii="Arial,Times New Roman" w:eastAsia="Arial,Times New Roman" w:hAnsi="Arial,Times New Roman" w:cs="Arial,Times New Roman"/>
                <w:sz w:val="20"/>
                <w:szCs w:val="20"/>
                <w:lang w:eastAsia="en-GB"/>
              </w:rPr>
            </w:pPr>
            <w:r w:rsidRPr="4E03F48D">
              <w:rPr>
                <w:rFonts w:asciiTheme="minorHAnsi" w:eastAsiaTheme="minorEastAsia" w:hAnsiTheme="minorHAnsi"/>
                <w:b/>
                <w:color w:val="0078C9" w:themeColor="accent1"/>
                <w:sz w:val="22"/>
                <w:lang w:eastAsia="en-GB"/>
              </w:rPr>
              <w:t>Forecast</w:t>
            </w:r>
          </w:p>
        </w:tc>
      </w:tr>
      <w:tr w:rsidR="007A4C0A" w:rsidRPr="003C5605" w14:paraId="2C0F3BEE" w14:textId="7AFD7067" w:rsidTr="00E64F20">
        <w:trPr>
          <w:trHeight w:val="166"/>
        </w:trPr>
        <w:tc>
          <w:tcPr>
            <w:tcW w:w="511" w:type="dxa"/>
            <w:shd w:val="clear" w:color="auto" w:fill="auto"/>
            <w:tcMar>
              <w:top w:w="15" w:type="dxa"/>
              <w:left w:w="54" w:type="dxa"/>
              <w:bottom w:w="0" w:type="dxa"/>
              <w:right w:w="54" w:type="dxa"/>
            </w:tcMar>
            <w:hideMark/>
          </w:tcPr>
          <w:p w14:paraId="22AD1FCD" w14:textId="4DD9D8CB" w:rsidR="007A4C0A" w:rsidRPr="003C5605" w:rsidRDefault="007A4C0A" w:rsidP="00560FBB">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w:t>
            </w:r>
          </w:p>
        </w:tc>
        <w:tc>
          <w:tcPr>
            <w:tcW w:w="820" w:type="dxa"/>
            <w:shd w:val="clear" w:color="auto" w:fill="auto"/>
            <w:vAlign w:val="center"/>
          </w:tcPr>
          <w:p w14:paraId="1C25F2F6" w14:textId="061465BF"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PR14SESWSW_A1</w:t>
            </w:r>
          </w:p>
        </w:tc>
        <w:tc>
          <w:tcPr>
            <w:tcW w:w="5601" w:type="dxa"/>
            <w:shd w:val="clear" w:color="auto" w:fill="auto"/>
            <w:tcMar>
              <w:top w:w="15" w:type="dxa"/>
              <w:left w:w="54" w:type="dxa"/>
              <w:bottom w:w="0" w:type="dxa"/>
              <w:right w:w="54" w:type="dxa"/>
            </w:tcMar>
            <w:vAlign w:val="center"/>
          </w:tcPr>
          <w:p w14:paraId="66A9CF04" w14:textId="579010AD"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A1: Security of supply index (</w:t>
            </w:r>
            <w:proofErr w:type="spellStart"/>
            <w:r>
              <w:rPr>
                <w:rFonts w:cs="Arial"/>
                <w:sz w:val="18"/>
                <w:szCs w:val="18"/>
              </w:rPr>
              <w:t>SoSI</w:t>
            </w:r>
            <w:proofErr w:type="spellEnd"/>
            <w:r>
              <w:rPr>
                <w:rFonts w:cs="Arial"/>
                <w:sz w:val="18"/>
                <w:szCs w:val="18"/>
              </w:rPr>
              <w:t>) dry year average</w:t>
            </w:r>
          </w:p>
        </w:tc>
        <w:tc>
          <w:tcPr>
            <w:tcW w:w="942" w:type="dxa"/>
            <w:shd w:val="clear" w:color="auto" w:fill="auto"/>
            <w:tcMar>
              <w:top w:w="15" w:type="dxa"/>
              <w:left w:w="54" w:type="dxa"/>
              <w:bottom w:w="0" w:type="dxa"/>
              <w:right w:w="54" w:type="dxa"/>
            </w:tcMar>
            <w:vAlign w:val="center"/>
          </w:tcPr>
          <w:p w14:paraId="1B77BA9A" w14:textId="18E7783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5B3E59DF" w14:textId="02FAE5D1"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20A9522" w14:textId="6E4F399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6B07FA03" w14:textId="7062798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2F750A0C" w14:textId="0CDD2F0D"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1B2B387" w14:textId="18D854B8"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67CE0C83" w14:textId="3E36DDBA"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50032D8A" w14:textId="77777777" w:rsidTr="00E64F20">
        <w:trPr>
          <w:trHeight w:val="166"/>
        </w:trPr>
        <w:tc>
          <w:tcPr>
            <w:tcW w:w="511" w:type="dxa"/>
            <w:shd w:val="clear" w:color="auto" w:fill="auto"/>
            <w:tcMar>
              <w:top w:w="15" w:type="dxa"/>
              <w:left w:w="54" w:type="dxa"/>
              <w:bottom w:w="0" w:type="dxa"/>
              <w:right w:w="54" w:type="dxa"/>
            </w:tcMar>
          </w:tcPr>
          <w:p w14:paraId="20EE3466" w14:textId="49630338" w:rsidR="007A4C0A" w:rsidRPr="4E03F48D" w:rsidRDefault="007A4C0A" w:rsidP="00560FBB">
            <w:pPr>
              <w:spacing w:before="40" w:after="40" w:line="240" w:lineRule="auto"/>
              <w:rPr>
                <w:sz w:val="20"/>
                <w:szCs w:val="20"/>
                <w:lang w:eastAsia="en-GB"/>
              </w:rPr>
            </w:pPr>
            <w:r>
              <w:rPr>
                <w:sz w:val="20"/>
                <w:szCs w:val="20"/>
                <w:lang w:eastAsia="en-GB"/>
              </w:rPr>
              <w:lastRenderedPageBreak/>
              <w:t>2</w:t>
            </w:r>
          </w:p>
        </w:tc>
        <w:tc>
          <w:tcPr>
            <w:tcW w:w="820" w:type="dxa"/>
            <w:shd w:val="clear" w:color="auto" w:fill="auto"/>
            <w:vAlign w:val="center"/>
          </w:tcPr>
          <w:p w14:paraId="6D5CF475" w14:textId="67708B98"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PR14SESWSW_A2</w:t>
            </w:r>
          </w:p>
        </w:tc>
        <w:tc>
          <w:tcPr>
            <w:tcW w:w="5601" w:type="dxa"/>
            <w:shd w:val="clear" w:color="auto" w:fill="auto"/>
            <w:tcMar>
              <w:top w:w="15" w:type="dxa"/>
              <w:left w:w="54" w:type="dxa"/>
              <w:bottom w:w="0" w:type="dxa"/>
              <w:right w:w="54" w:type="dxa"/>
            </w:tcMar>
            <w:vAlign w:val="center"/>
          </w:tcPr>
          <w:p w14:paraId="221B30AE" w14:textId="63A83A6E"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A2: Security of supply index (</w:t>
            </w:r>
            <w:proofErr w:type="spellStart"/>
            <w:r>
              <w:rPr>
                <w:rFonts w:cs="Arial"/>
                <w:sz w:val="18"/>
                <w:szCs w:val="18"/>
              </w:rPr>
              <w:t>SoSI</w:t>
            </w:r>
            <w:proofErr w:type="spellEnd"/>
            <w:r>
              <w:rPr>
                <w:rFonts w:cs="Arial"/>
                <w:sz w:val="18"/>
                <w:szCs w:val="18"/>
              </w:rPr>
              <w:t>) critical period</w:t>
            </w:r>
          </w:p>
        </w:tc>
        <w:tc>
          <w:tcPr>
            <w:tcW w:w="942" w:type="dxa"/>
            <w:shd w:val="clear" w:color="auto" w:fill="auto"/>
            <w:tcMar>
              <w:top w:w="15" w:type="dxa"/>
              <w:left w:w="54" w:type="dxa"/>
              <w:bottom w:w="0" w:type="dxa"/>
              <w:right w:w="54" w:type="dxa"/>
            </w:tcMar>
            <w:vAlign w:val="center"/>
          </w:tcPr>
          <w:p w14:paraId="08274693" w14:textId="47D68399"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65CB3431" w14:textId="0B83652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3F9E1DE2" w14:textId="4ACCDB4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2FED3807" w14:textId="3004A5D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3A8B1E9D" w14:textId="3D5AA5F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6223E1D" w14:textId="599D9014"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6AB5802D" w14:textId="0CAD3492"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07BD0731" w14:textId="77777777" w:rsidTr="00E64F20">
        <w:trPr>
          <w:trHeight w:val="166"/>
        </w:trPr>
        <w:tc>
          <w:tcPr>
            <w:tcW w:w="511" w:type="dxa"/>
            <w:shd w:val="clear" w:color="auto" w:fill="auto"/>
            <w:tcMar>
              <w:top w:w="15" w:type="dxa"/>
              <w:left w:w="54" w:type="dxa"/>
              <w:bottom w:w="0" w:type="dxa"/>
              <w:right w:w="54" w:type="dxa"/>
            </w:tcMar>
          </w:tcPr>
          <w:p w14:paraId="6D40A9B5" w14:textId="767F4EF6" w:rsidR="007A4C0A" w:rsidRPr="4E03F48D" w:rsidRDefault="007A4C0A" w:rsidP="00560FBB">
            <w:pPr>
              <w:spacing w:before="40" w:after="40" w:line="240" w:lineRule="auto"/>
              <w:rPr>
                <w:sz w:val="20"/>
                <w:szCs w:val="20"/>
                <w:lang w:eastAsia="en-GB"/>
              </w:rPr>
            </w:pPr>
            <w:r>
              <w:rPr>
                <w:sz w:val="20"/>
                <w:szCs w:val="20"/>
                <w:lang w:eastAsia="en-GB"/>
              </w:rPr>
              <w:t>3</w:t>
            </w:r>
          </w:p>
        </w:tc>
        <w:tc>
          <w:tcPr>
            <w:tcW w:w="820" w:type="dxa"/>
            <w:shd w:val="clear" w:color="auto" w:fill="auto"/>
            <w:vAlign w:val="center"/>
          </w:tcPr>
          <w:p w14:paraId="64BB7884" w14:textId="6BC68EB1"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PR14SESWSW_A3</w:t>
            </w:r>
          </w:p>
        </w:tc>
        <w:tc>
          <w:tcPr>
            <w:tcW w:w="5601" w:type="dxa"/>
            <w:shd w:val="clear" w:color="auto" w:fill="auto"/>
            <w:tcMar>
              <w:top w:w="15" w:type="dxa"/>
              <w:left w:w="54" w:type="dxa"/>
              <w:bottom w:w="0" w:type="dxa"/>
              <w:right w:w="54" w:type="dxa"/>
            </w:tcMar>
            <w:vAlign w:val="center"/>
          </w:tcPr>
          <w:p w14:paraId="070B5239" w14:textId="3B5D0B58"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A3: Supply interruptions &gt;3 hours</w:t>
            </w:r>
          </w:p>
        </w:tc>
        <w:tc>
          <w:tcPr>
            <w:tcW w:w="942" w:type="dxa"/>
            <w:shd w:val="clear" w:color="auto" w:fill="auto"/>
            <w:tcMar>
              <w:top w:w="15" w:type="dxa"/>
              <w:left w:w="54" w:type="dxa"/>
              <w:bottom w:w="0" w:type="dxa"/>
              <w:right w:w="54" w:type="dxa"/>
            </w:tcMar>
            <w:vAlign w:val="center"/>
          </w:tcPr>
          <w:p w14:paraId="585E0842" w14:textId="7B891026"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2A6FA49E" w14:textId="543D723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180B16AB" w14:textId="5452D3A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7C716CB8" w14:textId="088FD38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4" w:type="dxa"/>
            <w:shd w:val="clear" w:color="auto" w:fill="auto"/>
            <w:vAlign w:val="center"/>
          </w:tcPr>
          <w:p w14:paraId="2664BD71" w14:textId="10B23AD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1C44F6D" w14:textId="2088BD7A"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0.7376</w:t>
            </w:r>
          </w:p>
        </w:tc>
        <w:tc>
          <w:tcPr>
            <w:tcW w:w="1335" w:type="dxa"/>
            <w:shd w:val="clear" w:color="auto" w:fill="auto"/>
            <w:vAlign w:val="center"/>
          </w:tcPr>
          <w:p w14:paraId="6327C4FD" w14:textId="38D9A399"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0.1060</w:t>
            </w:r>
          </w:p>
        </w:tc>
      </w:tr>
      <w:tr w:rsidR="007A4C0A" w:rsidRPr="003C5605" w14:paraId="55108E58" w14:textId="77777777" w:rsidTr="00E64F20">
        <w:trPr>
          <w:trHeight w:val="166"/>
        </w:trPr>
        <w:tc>
          <w:tcPr>
            <w:tcW w:w="511" w:type="dxa"/>
            <w:shd w:val="clear" w:color="auto" w:fill="auto"/>
            <w:tcMar>
              <w:top w:w="15" w:type="dxa"/>
              <w:left w:w="54" w:type="dxa"/>
              <w:bottom w:w="0" w:type="dxa"/>
              <w:right w:w="54" w:type="dxa"/>
            </w:tcMar>
          </w:tcPr>
          <w:p w14:paraId="79C98EC8" w14:textId="0D05287C" w:rsidR="007A4C0A" w:rsidRPr="4E03F48D" w:rsidRDefault="007A4C0A" w:rsidP="00560FBB">
            <w:pPr>
              <w:spacing w:before="40" w:after="40" w:line="240" w:lineRule="auto"/>
              <w:rPr>
                <w:sz w:val="20"/>
                <w:szCs w:val="20"/>
                <w:lang w:eastAsia="en-GB"/>
              </w:rPr>
            </w:pPr>
            <w:r>
              <w:rPr>
                <w:sz w:val="20"/>
                <w:szCs w:val="20"/>
                <w:lang w:eastAsia="en-GB"/>
              </w:rPr>
              <w:t>4</w:t>
            </w:r>
          </w:p>
        </w:tc>
        <w:tc>
          <w:tcPr>
            <w:tcW w:w="820" w:type="dxa"/>
            <w:shd w:val="clear" w:color="auto" w:fill="auto"/>
            <w:vAlign w:val="center"/>
          </w:tcPr>
          <w:p w14:paraId="44778066" w14:textId="76197E62"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PR14SESWSW_A4</w:t>
            </w:r>
          </w:p>
        </w:tc>
        <w:tc>
          <w:tcPr>
            <w:tcW w:w="5601" w:type="dxa"/>
            <w:shd w:val="clear" w:color="auto" w:fill="auto"/>
            <w:tcMar>
              <w:top w:w="15" w:type="dxa"/>
              <w:left w:w="54" w:type="dxa"/>
              <w:bottom w:w="0" w:type="dxa"/>
              <w:right w:w="54" w:type="dxa"/>
            </w:tcMar>
            <w:vAlign w:val="center"/>
          </w:tcPr>
          <w:p w14:paraId="3785988E" w14:textId="4B1272F5"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A4: Condition and reliability of the mains network - number of burst pipes a year</w:t>
            </w:r>
          </w:p>
        </w:tc>
        <w:tc>
          <w:tcPr>
            <w:tcW w:w="942" w:type="dxa"/>
            <w:shd w:val="clear" w:color="auto" w:fill="auto"/>
            <w:tcMar>
              <w:top w:w="15" w:type="dxa"/>
              <w:left w:w="54" w:type="dxa"/>
              <w:bottom w:w="0" w:type="dxa"/>
              <w:right w:w="54" w:type="dxa"/>
            </w:tcMar>
            <w:vAlign w:val="center"/>
          </w:tcPr>
          <w:p w14:paraId="1B3A4EB6" w14:textId="1DD0F680"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26EA6EC4" w14:textId="748D49A3"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AA81618" w14:textId="6B4EFAC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6D6455BB" w14:textId="4FF8B62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3D39DDEC" w14:textId="1370159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70036B4B" w14:textId="4DF8F029"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4E37FDCD" w14:textId="62223879"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7BC72236" w14:textId="77777777" w:rsidTr="00E64F20">
        <w:trPr>
          <w:trHeight w:val="166"/>
        </w:trPr>
        <w:tc>
          <w:tcPr>
            <w:tcW w:w="511" w:type="dxa"/>
            <w:shd w:val="clear" w:color="auto" w:fill="auto"/>
            <w:tcMar>
              <w:top w:w="15" w:type="dxa"/>
              <w:left w:w="54" w:type="dxa"/>
              <w:bottom w:w="0" w:type="dxa"/>
              <w:right w:w="54" w:type="dxa"/>
            </w:tcMar>
          </w:tcPr>
          <w:p w14:paraId="5621AA4C" w14:textId="19EECCEE" w:rsidR="007A4C0A" w:rsidRPr="4E03F48D" w:rsidRDefault="007A4C0A" w:rsidP="00560FBB">
            <w:pPr>
              <w:spacing w:before="40" w:after="40" w:line="240" w:lineRule="auto"/>
              <w:rPr>
                <w:sz w:val="20"/>
                <w:szCs w:val="20"/>
                <w:lang w:eastAsia="en-GB"/>
              </w:rPr>
            </w:pPr>
            <w:r>
              <w:rPr>
                <w:sz w:val="20"/>
                <w:szCs w:val="20"/>
                <w:lang w:eastAsia="en-GB"/>
              </w:rPr>
              <w:t>5</w:t>
            </w:r>
          </w:p>
        </w:tc>
        <w:tc>
          <w:tcPr>
            <w:tcW w:w="820" w:type="dxa"/>
            <w:shd w:val="clear" w:color="auto" w:fill="auto"/>
            <w:vAlign w:val="center"/>
          </w:tcPr>
          <w:p w14:paraId="648F0272" w14:textId="55DD6328"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PR14SESWSW_A5</w:t>
            </w:r>
          </w:p>
        </w:tc>
        <w:tc>
          <w:tcPr>
            <w:tcW w:w="5601" w:type="dxa"/>
            <w:shd w:val="clear" w:color="auto" w:fill="auto"/>
            <w:tcMar>
              <w:top w:w="15" w:type="dxa"/>
              <w:left w:w="54" w:type="dxa"/>
              <w:bottom w:w="0" w:type="dxa"/>
              <w:right w:w="54" w:type="dxa"/>
            </w:tcMar>
            <w:vAlign w:val="center"/>
          </w:tcPr>
          <w:p w14:paraId="5D5DAB46" w14:textId="2931D045"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A5: Drinking Water Inspectorate’s (DWI) index of water quality</w:t>
            </w:r>
          </w:p>
        </w:tc>
        <w:tc>
          <w:tcPr>
            <w:tcW w:w="942" w:type="dxa"/>
            <w:shd w:val="clear" w:color="auto" w:fill="auto"/>
            <w:tcMar>
              <w:top w:w="15" w:type="dxa"/>
              <w:left w:w="54" w:type="dxa"/>
              <w:bottom w:w="0" w:type="dxa"/>
              <w:right w:w="54" w:type="dxa"/>
            </w:tcMar>
            <w:vAlign w:val="center"/>
          </w:tcPr>
          <w:p w14:paraId="6D8090CA" w14:textId="770FBFA1"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783F98F4" w14:textId="3237782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3ADBC758" w14:textId="150942F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1C7B5ACE" w14:textId="1F5ACC8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4" w:type="dxa"/>
            <w:shd w:val="clear" w:color="auto" w:fill="auto"/>
            <w:vAlign w:val="center"/>
          </w:tcPr>
          <w:p w14:paraId="43575086" w14:textId="796640B8"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1334" w:type="dxa"/>
            <w:shd w:val="clear" w:color="auto" w:fill="auto"/>
            <w:vAlign w:val="center"/>
          </w:tcPr>
          <w:p w14:paraId="07B90DA8" w14:textId="62CDCA94"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614DABDD" w14:textId="0BE173A6"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3CDE8DEF" w14:textId="77777777" w:rsidTr="00E64F20">
        <w:trPr>
          <w:trHeight w:val="166"/>
        </w:trPr>
        <w:tc>
          <w:tcPr>
            <w:tcW w:w="511" w:type="dxa"/>
            <w:shd w:val="clear" w:color="auto" w:fill="auto"/>
            <w:tcMar>
              <w:top w:w="15" w:type="dxa"/>
              <w:left w:w="54" w:type="dxa"/>
              <w:bottom w:w="0" w:type="dxa"/>
              <w:right w:w="54" w:type="dxa"/>
            </w:tcMar>
          </w:tcPr>
          <w:p w14:paraId="21786529" w14:textId="79387C8E" w:rsidR="007A4C0A" w:rsidRPr="4E03F48D" w:rsidRDefault="007A4C0A" w:rsidP="00560FBB">
            <w:pPr>
              <w:spacing w:before="40" w:after="40" w:line="240" w:lineRule="auto"/>
              <w:rPr>
                <w:sz w:val="20"/>
                <w:szCs w:val="20"/>
                <w:lang w:eastAsia="en-GB"/>
              </w:rPr>
            </w:pPr>
            <w:r>
              <w:rPr>
                <w:sz w:val="20"/>
                <w:szCs w:val="20"/>
                <w:lang w:eastAsia="en-GB"/>
              </w:rPr>
              <w:t>6</w:t>
            </w:r>
          </w:p>
        </w:tc>
        <w:tc>
          <w:tcPr>
            <w:tcW w:w="820" w:type="dxa"/>
            <w:shd w:val="clear" w:color="auto" w:fill="auto"/>
            <w:vAlign w:val="center"/>
          </w:tcPr>
          <w:p w14:paraId="22CD8CD2" w14:textId="631E5FA6"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PR14SESWSW_A6</w:t>
            </w:r>
          </w:p>
        </w:tc>
        <w:tc>
          <w:tcPr>
            <w:tcW w:w="5601" w:type="dxa"/>
            <w:shd w:val="clear" w:color="auto" w:fill="auto"/>
            <w:tcMar>
              <w:top w:w="15" w:type="dxa"/>
              <w:left w:w="54" w:type="dxa"/>
              <w:bottom w:w="0" w:type="dxa"/>
              <w:right w:w="54" w:type="dxa"/>
            </w:tcMar>
            <w:vAlign w:val="center"/>
          </w:tcPr>
          <w:p w14:paraId="42A00D3C" w14:textId="1F4853ED"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A6: Taste, odour and discolouration (number of contacts received)</w:t>
            </w:r>
          </w:p>
        </w:tc>
        <w:tc>
          <w:tcPr>
            <w:tcW w:w="942" w:type="dxa"/>
            <w:shd w:val="clear" w:color="auto" w:fill="auto"/>
            <w:tcMar>
              <w:top w:w="15" w:type="dxa"/>
              <w:left w:w="54" w:type="dxa"/>
              <w:bottom w:w="0" w:type="dxa"/>
              <w:right w:w="54" w:type="dxa"/>
            </w:tcMar>
            <w:vAlign w:val="center"/>
          </w:tcPr>
          <w:p w14:paraId="11289270" w14:textId="34C85ECD"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5C868BC8" w14:textId="05E99EB1"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30AD613B" w14:textId="6E7992F6"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0677EBA7" w14:textId="4907DD1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4" w:type="dxa"/>
            <w:shd w:val="clear" w:color="auto" w:fill="auto"/>
            <w:vAlign w:val="center"/>
          </w:tcPr>
          <w:p w14:paraId="419829A1" w14:textId="4DB92FE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1334" w:type="dxa"/>
            <w:shd w:val="clear" w:color="auto" w:fill="auto"/>
            <w:vAlign w:val="center"/>
          </w:tcPr>
          <w:p w14:paraId="0581D5AA" w14:textId="546F1FAF"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-0.0440</w:t>
            </w:r>
          </w:p>
        </w:tc>
        <w:tc>
          <w:tcPr>
            <w:tcW w:w="1335" w:type="dxa"/>
            <w:shd w:val="clear" w:color="auto" w:fill="auto"/>
            <w:vAlign w:val="center"/>
          </w:tcPr>
          <w:p w14:paraId="60EE9BDE" w14:textId="461F5EF4"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3206A513" w14:textId="77777777" w:rsidTr="00E64F20">
        <w:trPr>
          <w:trHeight w:val="166"/>
        </w:trPr>
        <w:tc>
          <w:tcPr>
            <w:tcW w:w="511" w:type="dxa"/>
            <w:shd w:val="clear" w:color="auto" w:fill="auto"/>
            <w:tcMar>
              <w:top w:w="15" w:type="dxa"/>
              <w:left w:w="54" w:type="dxa"/>
              <w:bottom w:w="0" w:type="dxa"/>
              <w:right w:w="54" w:type="dxa"/>
            </w:tcMar>
          </w:tcPr>
          <w:p w14:paraId="40F7CE16" w14:textId="070F5956" w:rsidR="007A4C0A" w:rsidRPr="4E03F48D" w:rsidRDefault="007A4C0A" w:rsidP="00560FBB">
            <w:pPr>
              <w:spacing w:before="40" w:after="40" w:line="240" w:lineRule="auto"/>
              <w:rPr>
                <w:sz w:val="20"/>
                <w:szCs w:val="20"/>
                <w:lang w:eastAsia="en-GB"/>
              </w:rPr>
            </w:pPr>
            <w:r>
              <w:rPr>
                <w:sz w:val="20"/>
                <w:szCs w:val="20"/>
                <w:lang w:eastAsia="en-GB"/>
              </w:rPr>
              <w:t>7</w:t>
            </w:r>
          </w:p>
        </w:tc>
        <w:tc>
          <w:tcPr>
            <w:tcW w:w="820" w:type="dxa"/>
            <w:shd w:val="clear" w:color="auto" w:fill="auto"/>
            <w:vAlign w:val="center"/>
          </w:tcPr>
          <w:p w14:paraId="7DA9E7AC" w14:textId="0418E70F"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PR14SESWSW_A7</w:t>
            </w:r>
          </w:p>
        </w:tc>
        <w:tc>
          <w:tcPr>
            <w:tcW w:w="5601" w:type="dxa"/>
            <w:shd w:val="clear" w:color="auto" w:fill="auto"/>
            <w:tcMar>
              <w:top w:w="15" w:type="dxa"/>
              <w:left w:w="54" w:type="dxa"/>
              <w:bottom w:w="0" w:type="dxa"/>
              <w:right w:w="54" w:type="dxa"/>
            </w:tcMar>
            <w:vAlign w:val="center"/>
          </w:tcPr>
          <w:p w14:paraId="7A29AED6" w14:textId="4A64DEE6"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A7: Water softening programme</w:t>
            </w:r>
          </w:p>
        </w:tc>
        <w:tc>
          <w:tcPr>
            <w:tcW w:w="942" w:type="dxa"/>
            <w:shd w:val="clear" w:color="auto" w:fill="auto"/>
            <w:tcMar>
              <w:top w:w="15" w:type="dxa"/>
              <w:left w:w="54" w:type="dxa"/>
              <w:bottom w:w="0" w:type="dxa"/>
              <w:right w:w="54" w:type="dxa"/>
            </w:tcMar>
            <w:vAlign w:val="center"/>
          </w:tcPr>
          <w:p w14:paraId="2C25439A" w14:textId="1AC7FD1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2C9F282A" w14:textId="0545258A"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70D49617" w14:textId="48BDCBDD"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268EF175" w14:textId="3442C7F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54D1EE25" w14:textId="00FEDB3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14A9D6B6" w14:textId="4C2C0666"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529ED2B7" w14:textId="4FFE4CD9"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4EE0E216" w14:textId="77777777" w:rsidTr="00E64F20">
        <w:trPr>
          <w:trHeight w:val="166"/>
        </w:trPr>
        <w:tc>
          <w:tcPr>
            <w:tcW w:w="511" w:type="dxa"/>
            <w:shd w:val="clear" w:color="auto" w:fill="auto"/>
            <w:tcMar>
              <w:top w:w="15" w:type="dxa"/>
              <w:left w:w="54" w:type="dxa"/>
              <w:bottom w:w="0" w:type="dxa"/>
              <w:right w:w="54" w:type="dxa"/>
            </w:tcMar>
          </w:tcPr>
          <w:p w14:paraId="43F7A7A3" w14:textId="72E2F48F" w:rsidR="007A4C0A" w:rsidRPr="4E03F48D" w:rsidRDefault="007A4C0A" w:rsidP="00560FBB">
            <w:pPr>
              <w:spacing w:before="40" w:after="40" w:line="240" w:lineRule="auto"/>
              <w:rPr>
                <w:sz w:val="20"/>
                <w:szCs w:val="20"/>
                <w:lang w:eastAsia="en-GB"/>
              </w:rPr>
            </w:pPr>
            <w:r>
              <w:rPr>
                <w:sz w:val="20"/>
                <w:szCs w:val="20"/>
                <w:lang w:eastAsia="en-GB"/>
              </w:rPr>
              <w:t>8</w:t>
            </w:r>
          </w:p>
        </w:tc>
        <w:tc>
          <w:tcPr>
            <w:tcW w:w="820" w:type="dxa"/>
            <w:shd w:val="clear" w:color="auto" w:fill="auto"/>
            <w:vAlign w:val="center"/>
          </w:tcPr>
          <w:p w14:paraId="0EE6FAF9" w14:textId="69D7054F"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PR14SESWSW_C1</w:t>
            </w:r>
          </w:p>
        </w:tc>
        <w:tc>
          <w:tcPr>
            <w:tcW w:w="5601" w:type="dxa"/>
            <w:shd w:val="clear" w:color="auto" w:fill="auto"/>
            <w:tcMar>
              <w:top w:w="15" w:type="dxa"/>
              <w:left w:w="54" w:type="dxa"/>
              <w:bottom w:w="0" w:type="dxa"/>
              <w:right w:w="54" w:type="dxa"/>
            </w:tcMar>
            <w:vAlign w:val="center"/>
          </w:tcPr>
          <w:p w14:paraId="4E36E55E" w14:textId="78F397CA"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C1: The number of times on average the Company has to impose restrictions on the use of water</w:t>
            </w:r>
          </w:p>
        </w:tc>
        <w:tc>
          <w:tcPr>
            <w:tcW w:w="942" w:type="dxa"/>
            <w:shd w:val="clear" w:color="auto" w:fill="auto"/>
            <w:tcMar>
              <w:top w:w="15" w:type="dxa"/>
              <w:left w:w="54" w:type="dxa"/>
              <w:bottom w:w="0" w:type="dxa"/>
              <w:right w:w="54" w:type="dxa"/>
            </w:tcMar>
            <w:vAlign w:val="center"/>
          </w:tcPr>
          <w:p w14:paraId="2B0A28DB" w14:textId="3413166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3FCE2E01" w14:textId="5B4EFDD3"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63C7AB09" w14:textId="006C7F6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7DF96DD4" w14:textId="5D5FDCD8"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64F75DFE" w14:textId="41A8292E"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0DDBC68" w14:textId="6B409F6D"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5591A12B" w14:textId="29311102"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3A6CCA29" w14:textId="77777777" w:rsidTr="00E64F20">
        <w:trPr>
          <w:trHeight w:val="166"/>
        </w:trPr>
        <w:tc>
          <w:tcPr>
            <w:tcW w:w="511" w:type="dxa"/>
            <w:shd w:val="clear" w:color="auto" w:fill="auto"/>
            <w:tcMar>
              <w:top w:w="15" w:type="dxa"/>
              <w:left w:w="54" w:type="dxa"/>
              <w:bottom w:w="0" w:type="dxa"/>
              <w:right w:w="54" w:type="dxa"/>
            </w:tcMar>
          </w:tcPr>
          <w:p w14:paraId="6C0D82D9" w14:textId="07CCF442" w:rsidR="007A4C0A" w:rsidRPr="4E03F48D" w:rsidRDefault="007A4C0A" w:rsidP="00560FBB">
            <w:pPr>
              <w:spacing w:before="40" w:after="40" w:line="240" w:lineRule="auto"/>
              <w:rPr>
                <w:sz w:val="20"/>
                <w:szCs w:val="20"/>
                <w:lang w:eastAsia="en-GB"/>
              </w:rPr>
            </w:pPr>
            <w:r>
              <w:rPr>
                <w:sz w:val="20"/>
                <w:szCs w:val="20"/>
                <w:lang w:eastAsia="en-GB"/>
              </w:rPr>
              <w:t>9</w:t>
            </w:r>
          </w:p>
        </w:tc>
        <w:tc>
          <w:tcPr>
            <w:tcW w:w="820" w:type="dxa"/>
            <w:shd w:val="clear" w:color="auto" w:fill="auto"/>
            <w:vAlign w:val="center"/>
          </w:tcPr>
          <w:p w14:paraId="5D61B7C4" w14:textId="5A664FAB"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PR14SESWSW_C2</w:t>
            </w:r>
          </w:p>
        </w:tc>
        <w:tc>
          <w:tcPr>
            <w:tcW w:w="5601" w:type="dxa"/>
            <w:shd w:val="clear" w:color="auto" w:fill="auto"/>
            <w:tcMar>
              <w:top w:w="15" w:type="dxa"/>
              <w:left w:w="54" w:type="dxa"/>
              <w:bottom w:w="0" w:type="dxa"/>
              <w:right w:w="54" w:type="dxa"/>
            </w:tcMar>
            <w:vAlign w:val="center"/>
          </w:tcPr>
          <w:p w14:paraId="08D3BA7D" w14:textId="220B3A13"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C2: Percentage of properties that are connected to more than one treatment works (resilience measure)</w:t>
            </w:r>
          </w:p>
        </w:tc>
        <w:tc>
          <w:tcPr>
            <w:tcW w:w="942" w:type="dxa"/>
            <w:shd w:val="clear" w:color="auto" w:fill="auto"/>
            <w:tcMar>
              <w:top w:w="15" w:type="dxa"/>
              <w:left w:w="54" w:type="dxa"/>
              <w:bottom w:w="0" w:type="dxa"/>
              <w:right w:w="54" w:type="dxa"/>
            </w:tcMar>
            <w:vAlign w:val="center"/>
          </w:tcPr>
          <w:p w14:paraId="3DA6108C" w14:textId="23BFB469"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26D59B1C" w14:textId="0C78DAE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6BAC4940" w14:textId="13721FE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4B831269" w14:textId="1C3E371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7E663137" w14:textId="19D4F960"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317AFA7A" w14:textId="1A6FA74D"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55E7D896" w14:textId="4871FD21"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05AE3CAF" w14:textId="77777777" w:rsidTr="00E64F20">
        <w:trPr>
          <w:trHeight w:val="166"/>
        </w:trPr>
        <w:tc>
          <w:tcPr>
            <w:tcW w:w="511" w:type="dxa"/>
            <w:shd w:val="clear" w:color="auto" w:fill="auto"/>
            <w:tcMar>
              <w:top w:w="15" w:type="dxa"/>
              <w:left w:w="54" w:type="dxa"/>
              <w:bottom w:w="0" w:type="dxa"/>
              <w:right w:w="54" w:type="dxa"/>
            </w:tcMar>
          </w:tcPr>
          <w:p w14:paraId="7A944E4C" w14:textId="5CC34770" w:rsidR="007A4C0A" w:rsidRPr="4E03F48D" w:rsidRDefault="007A4C0A" w:rsidP="00560FBB">
            <w:pPr>
              <w:spacing w:before="40" w:after="40" w:line="240" w:lineRule="auto"/>
              <w:rPr>
                <w:sz w:val="20"/>
                <w:szCs w:val="20"/>
                <w:lang w:eastAsia="en-GB"/>
              </w:rPr>
            </w:pPr>
            <w:r>
              <w:rPr>
                <w:sz w:val="20"/>
                <w:szCs w:val="20"/>
                <w:lang w:eastAsia="en-GB"/>
              </w:rPr>
              <w:t>10</w:t>
            </w:r>
          </w:p>
        </w:tc>
        <w:tc>
          <w:tcPr>
            <w:tcW w:w="820" w:type="dxa"/>
            <w:shd w:val="clear" w:color="auto" w:fill="auto"/>
            <w:vAlign w:val="center"/>
          </w:tcPr>
          <w:p w14:paraId="268CBDC9" w14:textId="5808B1C1"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w:t>
            </w:r>
            <w:r>
              <w:rPr>
                <w:rFonts w:cs="Arial"/>
                <w:sz w:val="18"/>
                <w:szCs w:val="18"/>
              </w:rPr>
              <w:lastRenderedPageBreak/>
              <w:t>E1</w:t>
            </w:r>
          </w:p>
        </w:tc>
        <w:tc>
          <w:tcPr>
            <w:tcW w:w="5601" w:type="dxa"/>
            <w:shd w:val="clear" w:color="auto" w:fill="auto"/>
            <w:tcMar>
              <w:top w:w="15" w:type="dxa"/>
              <w:left w:w="54" w:type="dxa"/>
              <w:bottom w:w="0" w:type="dxa"/>
              <w:right w:w="54" w:type="dxa"/>
            </w:tcMar>
            <w:vAlign w:val="center"/>
          </w:tcPr>
          <w:p w14:paraId="00598B62" w14:textId="60981FFD"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lastRenderedPageBreak/>
              <w:t>E1: Level of leakage measured in megalitres per day (including customer supply pipe leakage)</w:t>
            </w:r>
          </w:p>
        </w:tc>
        <w:tc>
          <w:tcPr>
            <w:tcW w:w="942" w:type="dxa"/>
            <w:shd w:val="clear" w:color="auto" w:fill="auto"/>
            <w:tcMar>
              <w:top w:w="15" w:type="dxa"/>
              <w:left w:w="54" w:type="dxa"/>
              <w:bottom w:w="0" w:type="dxa"/>
              <w:right w:w="54" w:type="dxa"/>
            </w:tcMar>
            <w:vAlign w:val="center"/>
          </w:tcPr>
          <w:p w14:paraId="0644ED65" w14:textId="471015C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1D53F76A" w14:textId="623017D8" w:rsidR="007A4C0A" w:rsidRPr="003C5605" w:rsidRDefault="0022529E"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39475671" w14:textId="54EEBDA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0CBF1CD" w14:textId="65EE561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2B07FEF2" w14:textId="036A2A9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6CCC499A" w14:textId="1AF1BCF4"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74308D6B" w14:textId="46EA900B"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6BD56376" w14:textId="77777777" w:rsidTr="00E64F20">
        <w:trPr>
          <w:trHeight w:val="166"/>
        </w:trPr>
        <w:tc>
          <w:tcPr>
            <w:tcW w:w="511" w:type="dxa"/>
            <w:shd w:val="clear" w:color="auto" w:fill="auto"/>
            <w:tcMar>
              <w:top w:w="15" w:type="dxa"/>
              <w:left w:w="54" w:type="dxa"/>
              <w:bottom w:w="0" w:type="dxa"/>
              <w:right w:w="54" w:type="dxa"/>
            </w:tcMar>
          </w:tcPr>
          <w:p w14:paraId="085AADF7" w14:textId="4A988E1F" w:rsidR="007A4C0A" w:rsidRPr="4E03F48D" w:rsidRDefault="007A4C0A" w:rsidP="00560FBB">
            <w:pPr>
              <w:spacing w:before="40" w:after="40" w:line="240" w:lineRule="auto"/>
              <w:rPr>
                <w:sz w:val="20"/>
                <w:szCs w:val="20"/>
                <w:lang w:eastAsia="en-GB"/>
              </w:rPr>
            </w:pPr>
            <w:r>
              <w:rPr>
                <w:sz w:val="20"/>
                <w:szCs w:val="20"/>
                <w:lang w:eastAsia="en-GB"/>
              </w:rPr>
              <w:t>11</w:t>
            </w:r>
          </w:p>
        </w:tc>
        <w:tc>
          <w:tcPr>
            <w:tcW w:w="820" w:type="dxa"/>
            <w:shd w:val="clear" w:color="auto" w:fill="auto"/>
            <w:vAlign w:val="center"/>
          </w:tcPr>
          <w:p w14:paraId="19D08C8A" w14:textId="2FA4C0B3"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PR14SESWSW_E2</w:t>
            </w:r>
          </w:p>
        </w:tc>
        <w:tc>
          <w:tcPr>
            <w:tcW w:w="5601" w:type="dxa"/>
            <w:shd w:val="clear" w:color="auto" w:fill="auto"/>
            <w:tcMar>
              <w:top w:w="15" w:type="dxa"/>
              <w:left w:w="54" w:type="dxa"/>
              <w:bottom w:w="0" w:type="dxa"/>
              <w:right w:w="54" w:type="dxa"/>
            </w:tcMar>
            <w:vAlign w:val="center"/>
          </w:tcPr>
          <w:p w14:paraId="70AC3943" w14:textId="5E817089"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E2: Per capita consumption (PCC), measured in litres per head per day (l/h/d)</w:t>
            </w:r>
          </w:p>
        </w:tc>
        <w:tc>
          <w:tcPr>
            <w:tcW w:w="942" w:type="dxa"/>
            <w:shd w:val="clear" w:color="auto" w:fill="auto"/>
            <w:tcMar>
              <w:top w:w="15" w:type="dxa"/>
              <w:left w:w="54" w:type="dxa"/>
              <w:bottom w:w="0" w:type="dxa"/>
              <w:right w:w="54" w:type="dxa"/>
            </w:tcMar>
            <w:vAlign w:val="center"/>
          </w:tcPr>
          <w:p w14:paraId="1A1DA2D9" w14:textId="26C72BF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7DFD1AB2" w14:textId="41EF31D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71F623E2" w14:textId="105725E0"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ACB93A9" w14:textId="7A54BB0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3EEC65EE" w14:textId="1F9794F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E0F2365" w14:textId="1539D192"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75CD9B8D" w14:textId="662996B8"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72531B65" w14:textId="77777777" w:rsidTr="00E64F20">
        <w:trPr>
          <w:trHeight w:val="166"/>
        </w:trPr>
        <w:tc>
          <w:tcPr>
            <w:tcW w:w="511" w:type="dxa"/>
            <w:shd w:val="clear" w:color="auto" w:fill="auto"/>
            <w:tcMar>
              <w:top w:w="15" w:type="dxa"/>
              <w:left w:w="54" w:type="dxa"/>
              <w:bottom w:w="0" w:type="dxa"/>
              <w:right w:w="54" w:type="dxa"/>
            </w:tcMar>
          </w:tcPr>
          <w:p w14:paraId="74558DA4" w14:textId="59910D75" w:rsidR="007A4C0A" w:rsidRPr="4E03F48D" w:rsidRDefault="007A4C0A" w:rsidP="00560FBB">
            <w:pPr>
              <w:spacing w:before="40" w:after="40" w:line="240" w:lineRule="auto"/>
              <w:rPr>
                <w:sz w:val="20"/>
                <w:szCs w:val="20"/>
                <w:lang w:eastAsia="en-GB"/>
              </w:rPr>
            </w:pPr>
            <w:r>
              <w:rPr>
                <w:sz w:val="20"/>
                <w:szCs w:val="20"/>
                <w:lang w:eastAsia="en-GB"/>
              </w:rPr>
              <w:t>12</w:t>
            </w:r>
          </w:p>
        </w:tc>
        <w:tc>
          <w:tcPr>
            <w:tcW w:w="820" w:type="dxa"/>
            <w:shd w:val="clear" w:color="auto" w:fill="auto"/>
            <w:vAlign w:val="center"/>
          </w:tcPr>
          <w:p w14:paraId="1127BC73" w14:textId="6487F206"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PR14SESWSW_E3</w:t>
            </w:r>
          </w:p>
        </w:tc>
        <w:tc>
          <w:tcPr>
            <w:tcW w:w="5601" w:type="dxa"/>
            <w:shd w:val="clear" w:color="auto" w:fill="auto"/>
            <w:tcMar>
              <w:top w:w="15" w:type="dxa"/>
              <w:left w:w="54" w:type="dxa"/>
              <w:bottom w:w="0" w:type="dxa"/>
              <w:right w:w="54" w:type="dxa"/>
            </w:tcMar>
            <w:vAlign w:val="center"/>
          </w:tcPr>
          <w:p w14:paraId="3C754299" w14:textId="4E5CC092"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E3: The number of children and adults engaged in environmental education activities</w:t>
            </w:r>
          </w:p>
        </w:tc>
        <w:tc>
          <w:tcPr>
            <w:tcW w:w="942" w:type="dxa"/>
            <w:shd w:val="clear" w:color="auto" w:fill="auto"/>
            <w:tcMar>
              <w:top w:w="15" w:type="dxa"/>
              <w:left w:w="54" w:type="dxa"/>
              <w:bottom w:w="0" w:type="dxa"/>
              <w:right w:w="54" w:type="dxa"/>
            </w:tcMar>
            <w:vAlign w:val="center"/>
          </w:tcPr>
          <w:p w14:paraId="7988B19C" w14:textId="57548C8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0C129933" w14:textId="61A13CE3"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408BDFD1" w14:textId="01A9C2B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511627CC" w14:textId="68A059D8"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5A0192E7" w14:textId="6AA3B279"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96D80F0" w14:textId="2502ACB1"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48F82292" w14:textId="72A7C8E1"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74B56FB0" w14:textId="77777777" w:rsidTr="00E64F20">
        <w:trPr>
          <w:trHeight w:val="166"/>
        </w:trPr>
        <w:tc>
          <w:tcPr>
            <w:tcW w:w="511" w:type="dxa"/>
            <w:shd w:val="clear" w:color="auto" w:fill="auto"/>
            <w:tcMar>
              <w:top w:w="15" w:type="dxa"/>
              <w:left w:w="54" w:type="dxa"/>
              <w:bottom w:w="0" w:type="dxa"/>
              <w:right w:w="54" w:type="dxa"/>
            </w:tcMar>
          </w:tcPr>
          <w:p w14:paraId="794EE228" w14:textId="2CBE254F" w:rsidR="007A4C0A" w:rsidRPr="4E03F48D" w:rsidRDefault="007A4C0A" w:rsidP="00560FBB">
            <w:pPr>
              <w:spacing w:before="40" w:after="40" w:line="240" w:lineRule="auto"/>
              <w:rPr>
                <w:sz w:val="20"/>
                <w:szCs w:val="20"/>
                <w:lang w:eastAsia="en-GB"/>
              </w:rPr>
            </w:pPr>
            <w:r>
              <w:rPr>
                <w:sz w:val="20"/>
                <w:szCs w:val="20"/>
                <w:lang w:eastAsia="en-GB"/>
              </w:rPr>
              <w:t>13</w:t>
            </w:r>
          </w:p>
        </w:tc>
        <w:tc>
          <w:tcPr>
            <w:tcW w:w="820" w:type="dxa"/>
            <w:shd w:val="clear" w:color="auto" w:fill="auto"/>
            <w:vAlign w:val="center"/>
          </w:tcPr>
          <w:p w14:paraId="62470B18" w14:textId="3D914184"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PR14SESWSW_E4</w:t>
            </w:r>
          </w:p>
        </w:tc>
        <w:tc>
          <w:tcPr>
            <w:tcW w:w="5601" w:type="dxa"/>
            <w:shd w:val="clear" w:color="auto" w:fill="auto"/>
            <w:tcMar>
              <w:top w:w="15" w:type="dxa"/>
              <w:left w:w="54" w:type="dxa"/>
              <w:bottom w:w="0" w:type="dxa"/>
              <w:right w:w="54" w:type="dxa"/>
            </w:tcMar>
            <w:vAlign w:val="center"/>
          </w:tcPr>
          <w:p w14:paraId="5A818D94" w14:textId="088B446A"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E4: Greenhouse gas emissions per million litres of water supplied</w:t>
            </w:r>
          </w:p>
        </w:tc>
        <w:tc>
          <w:tcPr>
            <w:tcW w:w="942" w:type="dxa"/>
            <w:shd w:val="clear" w:color="auto" w:fill="auto"/>
            <w:tcMar>
              <w:top w:w="15" w:type="dxa"/>
              <w:left w:w="54" w:type="dxa"/>
              <w:bottom w:w="0" w:type="dxa"/>
              <w:right w:w="54" w:type="dxa"/>
            </w:tcMar>
            <w:vAlign w:val="center"/>
          </w:tcPr>
          <w:p w14:paraId="37215C41" w14:textId="61CC59B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15DCFC43" w14:textId="779ABF0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59C6573A" w14:textId="06A08CC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290D3173" w14:textId="5845582D"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7A2ED966" w14:textId="7754A4CA"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725708FA" w14:textId="0542CF8C"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10004075" w14:textId="6F20F291"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4F1B7D65" w14:textId="77777777" w:rsidTr="00E64F20">
        <w:trPr>
          <w:trHeight w:val="166"/>
        </w:trPr>
        <w:tc>
          <w:tcPr>
            <w:tcW w:w="511" w:type="dxa"/>
            <w:shd w:val="clear" w:color="auto" w:fill="auto"/>
            <w:tcMar>
              <w:top w:w="15" w:type="dxa"/>
              <w:left w:w="54" w:type="dxa"/>
              <w:bottom w:w="0" w:type="dxa"/>
              <w:right w:w="54" w:type="dxa"/>
            </w:tcMar>
          </w:tcPr>
          <w:p w14:paraId="6F8AB310" w14:textId="15AA1F71" w:rsidR="007A4C0A" w:rsidRPr="4E03F48D" w:rsidRDefault="007A4C0A" w:rsidP="00560FBB">
            <w:pPr>
              <w:spacing w:before="40" w:after="40" w:line="240" w:lineRule="auto"/>
              <w:rPr>
                <w:sz w:val="20"/>
                <w:szCs w:val="20"/>
                <w:lang w:eastAsia="en-GB"/>
              </w:rPr>
            </w:pPr>
            <w:r>
              <w:rPr>
                <w:sz w:val="20"/>
                <w:szCs w:val="20"/>
                <w:lang w:eastAsia="en-GB"/>
              </w:rPr>
              <w:t>14</w:t>
            </w:r>
          </w:p>
        </w:tc>
        <w:tc>
          <w:tcPr>
            <w:tcW w:w="820" w:type="dxa"/>
            <w:shd w:val="clear" w:color="auto" w:fill="auto"/>
            <w:vAlign w:val="center"/>
          </w:tcPr>
          <w:p w14:paraId="37045DE1" w14:textId="5E06942B"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PR14SESWSW_E5</w:t>
            </w:r>
          </w:p>
        </w:tc>
        <w:tc>
          <w:tcPr>
            <w:tcW w:w="5601" w:type="dxa"/>
            <w:shd w:val="clear" w:color="auto" w:fill="auto"/>
            <w:tcMar>
              <w:top w:w="15" w:type="dxa"/>
              <w:left w:w="54" w:type="dxa"/>
              <w:bottom w:w="0" w:type="dxa"/>
              <w:right w:w="54" w:type="dxa"/>
            </w:tcMar>
            <w:vAlign w:val="center"/>
          </w:tcPr>
          <w:p w14:paraId="3D925E53" w14:textId="3D6F1A40"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E5: Number of severe pollution incidents (category 3 or worse, as reported by the Environment Agency)</w:t>
            </w:r>
          </w:p>
        </w:tc>
        <w:tc>
          <w:tcPr>
            <w:tcW w:w="942" w:type="dxa"/>
            <w:shd w:val="clear" w:color="auto" w:fill="auto"/>
            <w:tcMar>
              <w:top w:w="15" w:type="dxa"/>
              <w:left w:w="54" w:type="dxa"/>
              <w:bottom w:w="0" w:type="dxa"/>
              <w:right w:w="54" w:type="dxa"/>
            </w:tcMar>
            <w:vAlign w:val="center"/>
          </w:tcPr>
          <w:p w14:paraId="33396AF9" w14:textId="6A4EE0EA"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3CC99D9C" w14:textId="6F175EC6"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1DB04AA2" w14:textId="6E9BD61A"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0F2BDDFB" w14:textId="6B718D2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20EF9158" w14:textId="7E418FD9"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21A7A86C" w14:textId="343860F5"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37F50DB4" w14:textId="71EC6AD9"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0C6B9A10" w14:textId="77777777" w:rsidTr="00E64F20">
        <w:trPr>
          <w:trHeight w:val="166"/>
        </w:trPr>
        <w:tc>
          <w:tcPr>
            <w:tcW w:w="511" w:type="dxa"/>
            <w:shd w:val="clear" w:color="auto" w:fill="auto"/>
            <w:tcMar>
              <w:top w:w="15" w:type="dxa"/>
              <w:left w:w="54" w:type="dxa"/>
              <w:bottom w:w="0" w:type="dxa"/>
              <w:right w:w="54" w:type="dxa"/>
            </w:tcMar>
          </w:tcPr>
          <w:p w14:paraId="6CA65EB6" w14:textId="3A85006D" w:rsidR="007A4C0A" w:rsidRPr="4E03F48D" w:rsidRDefault="007A4C0A" w:rsidP="00560FBB">
            <w:pPr>
              <w:spacing w:before="40" w:after="40" w:line="240" w:lineRule="auto"/>
              <w:rPr>
                <w:sz w:val="20"/>
                <w:szCs w:val="20"/>
                <w:lang w:eastAsia="en-GB"/>
              </w:rPr>
            </w:pPr>
            <w:r>
              <w:rPr>
                <w:sz w:val="20"/>
                <w:szCs w:val="20"/>
                <w:lang w:eastAsia="en-GB"/>
              </w:rPr>
              <w:t>15</w:t>
            </w:r>
          </w:p>
        </w:tc>
        <w:tc>
          <w:tcPr>
            <w:tcW w:w="820" w:type="dxa"/>
            <w:shd w:val="clear" w:color="auto" w:fill="auto"/>
            <w:vAlign w:val="center"/>
          </w:tcPr>
          <w:p w14:paraId="458C4FD9" w14:textId="15CBEA7D"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PR14SESWSW_E6</w:t>
            </w:r>
          </w:p>
        </w:tc>
        <w:tc>
          <w:tcPr>
            <w:tcW w:w="5601" w:type="dxa"/>
            <w:shd w:val="clear" w:color="auto" w:fill="auto"/>
            <w:tcMar>
              <w:top w:w="15" w:type="dxa"/>
              <w:left w:w="54" w:type="dxa"/>
              <w:bottom w:w="0" w:type="dxa"/>
              <w:right w:w="54" w:type="dxa"/>
            </w:tcMar>
            <w:vAlign w:val="center"/>
          </w:tcPr>
          <w:p w14:paraId="32E008AE" w14:textId="4AEF8737"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E6: Environmental investigations or catchment management schemes carried out as part of the NEP</w:t>
            </w:r>
          </w:p>
        </w:tc>
        <w:tc>
          <w:tcPr>
            <w:tcW w:w="942" w:type="dxa"/>
            <w:shd w:val="clear" w:color="auto" w:fill="auto"/>
            <w:tcMar>
              <w:top w:w="15" w:type="dxa"/>
              <w:left w:w="54" w:type="dxa"/>
              <w:bottom w:w="0" w:type="dxa"/>
              <w:right w:w="54" w:type="dxa"/>
            </w:tcMar>
            <w:vAlign w:val="center"/>
          </w:tcPr>
          <w:p w14:paraId="57B9D4AD" w14:textId="62231F99"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0F20C60B" w14:textId="7880098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775A5BA0" w14:textId="62FA247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6079FBD7" w14:textId="315580F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42BF448B" w14:textId="38420D4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3EB54F61" w14:textId="59042C71"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4CB30FA2" w14:textId="1029C81D"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1DB1CF1B" w14:textId="77777777" w:rsidTr="00E64F20">
        <w:trPr>
          <w:trHeight w:val="166"/>
        </w:trPr>
        <w:tc>
          <w:tcPr>
            <w:tcW w:w="511" w:type="dxa"/>
            <w:shd w:val="clear" w:color="auto" w:fill="auto"/>
            <w:tcMar>
              <w:top w:w="15" w:type="dxa"/>
              <w:left w:w="54" w:type="dxa"/>
              <w:bottom w:w="0" w:type="dxa"/>
              <w:right w:w="54" w:type="dxa"/>
            </w:tcMar>
          </w:tcPr>
          <w:p w14:paraId="170213FC" w14:textId="1B6E2F4A" w:rsidR="007A4C0A" w:rsidRPr="4E03F48D" w:rsidRDefault="007A4C0A" w:rsidP="00560FBB">
            <w:pPr>
              <w:spacing w:before="40" w:after="40" w:line="240" w:lineRule="auto"/>
              <w:rPr>
                <w:sz w:val="20"/>
                <w:szCs w:val="20"/>
                <w:lang w:eastAsia="en-GB"/>
              </w:rPr>
            </w:pPr>
            <w:r>
              <w:rPr>
                <w:sz w:val="20"/>
                <w:szCs w:val="20"/>
                <w:lang w:eastAsia="en-GB"/>
              </w:rPr>
              <w:t>16</w:t>
            </w:r>
          </w:p>
        </w:tc>
        <w:tc>
          <w:tcPr>
            <w:tcW w:w="820" w:type="dxa"/>
            <w:shd w:val="clear" w:color="auto" w:fill="auto"/>
            <w:vAlign w:val="center"/>
          </w:tcPr>
          <w:p w14:paraId="45C5588E" w14:textId="2DEECAF1"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PR14SESHHR_B1</w:t>
            </w:r>
          </w:p>
        </w:tc>
        <w:tc>
          <w:tcPr>
            <w:tcW w:w="5601" w:type="dxa"/>
            <w:shd w:val="clear" w:color="auto" w:fill="auto"/>
            <w:tcMar>
              <w:top w:w="15" w:type="dxa"/>
              <w:left w:w="54" w:type="dxa"/>
              <w:bottom w:w="0" w:type="dxa"/>
              <w:right w:w="54" w:type="dxa"/>
            </w:tcMar>
            <w:vAlign w:val="center"/>
          </w:tcPr>
          <w:p w14:paraId="3EE3074B" w14:textId="3CEC4130"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B1: Number of customers that are in water poverty and receiving assistance</w:t>
            </w:r>
          </w:p>
        </w:tc>
        <w:tc>
          <w:tcPr>
            <w:tcW w:w="942" w:type="dxa"/>
            <w:shd w:val="clear" w:color="auto" w:fill="auto"/>
            <w:tcMar>
              <w:top w:w="15" w:type="dxa"/>
              <w:left w:w="54" w:type="dxa"/>
              <w:bottom w:w="0" w:type="dxa"/>
              <w:right w:w="54" w:type="dxa"/>
            </w:tcMar>
            <w:vAlign w:val="center"/>
          </w:tcPr>
          <w:p w14:paraId="269B9B91" w14:textId="4E8DACC6"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3AABE2EB" w14:textId="2C29F5B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6F2D11A8" w14:textId="60C3E90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2F0B5464" w14:textId="56D0C92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60B14BA1" w14:textId="22C1BBCE"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0CAF4E63" w14:textId="7D4E911E"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3C5ED8D9" w14:textId="4A223072"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13B2DFA9" w14:textId="77777777" w:rsidTr="00E64F20">
        <w:trPr>
          <w:trHeight w:val="166"/>
        </w:trPr>
        <w:tc>
          <w:tcPr>
            <w:tcW w:w="511" w:type="dxa"/>
            <w:shd w:val="clear" w:color="auto" w:fill="auto"/>
            <w:tcMar>
              <w:top w:w="15" w:type="dxa"/>
              <w:left w:w="54" w:type="dxa"/>
              <w:bottom w:w="0" w:type="dxa"/>
              <w:right w:w="54" w:type="dxa"/>
            </w:tcMar>
          </w:tcPr>
          <w:p w14:paraId="06876EA1" w14:textId="3044183E" w:rsidR="007A4C0A" w:rsidRDefault="007A4C0A" w:rsidP="00560FBB">
            <w:pPr>
              <w:spacing w:before="40" w:after="40" w:line="240" w:lineRule="auto"/>
              <w:rPr>
                <w:sz w:val="20"/>
                <w:szCs w:val="20"/>
                <w:lang w:eastAsia="en-GB"/>
              </w:rPr>
            </w:pPr>
            <w:r>
              <w:rPr>
                <w:sz w:val="20"/>
                <w:szCs w:val="20"/>
                <w:lang w:eastAsia="en-GB"/>
              </w:rPr>
              <w:t>17</w:t>
            </w:r>
          </w:p>
        </w:tc>
        <w:tc>
          <w:tcPr>
            <w:tcW w:w="820" w:type="dxa"/>
            <w:shd w:val="clear" w:color="auto" w:fill="auto"/>
            <w:vAlign w:val="center"/>
          </w:tcPr>
          <w:p w14:paraId="14ABC5C5" w14:textId="1CA96BB2"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PR14SESHHR_B2</w:t>
            </w:r>
          </w:p>
        </w:tc>
        <w:tc>
          <w:tcPr>
            <w:tcW w:w="5601" w:type="dxa"/>
            <w:shd w:val="clear" w:color="auto" w:fill="auto"/>
            <w:tcMar>
              <w:top w:w="15" w:type="dxa"/>
              <w:left w:w="54" w:type="dxa"/>
              <w:bottom w:w="0" w:type="dxa"/>
              <w:right w:w="54" w:type="dxa"/>
            </w:tcMar>
            <w:vAlign w:val="center"/>
          </w:tcPr>
          <w:p w14:paraId="1CCEE1A6" w14:textId="2A953CD2"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B2: Effectiveness of bad debt recovery (bad debt expressed as a percentage of turnover)</w:t>
            </w:r>
          </w:p>
        </w:tc>
        <w:tc>
          <w:tcPr>
            <w:tcW w:w="942" w:type="dxa"/>
            <w:shd w:val="clear" w:color="auto" w:fill="auto"/>
            <w:tcMar>
              <w:top w:w="15" w:type="dxa"/>
              <w:left w:w="54" w:type="dxa"/>
              <w:bottom w:w="0" w:type="dxa"/>
              <w:right w:w="54" w:type="dxa"/>
            </w:tcMar>
            <w:vAlign w:val="center"/>
          </w:tcPr>
          <w:p w14:paraId="47B350EE" w14:textId="3A4AFDC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45349A12" w14:textId="69F5E18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E0775B1" w14:textId="18D9E10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4F3AAFE9" w14:textId="799A42A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197B68B8" w14:textId="2DFBBF3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2E6D23FA" w14:textId="2DE42E0D"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2C09EC16" w14:textId="25C7669E"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4FFB7FEF" w14:textId="77777777" w:rsidTr="00E64F20">
        <w:trPr>
          <w:trHeight w:val="166"/>
        </w:trPr>
        <w:tc>
          <w:tcPr>
            <w:tcW w:w="511" w:type="dxa"/>
            <w:shd w:val="clear" w:color="auto" w:fill="auto"/>
            <w:tcMar>
              <w:top w:w="15" w:type="dxa"/>
              <w:left w:w="54" w:type="dxa"/>
              <w:bottom w:w="0" w:type="dxa"/>
              <w:right w:w="54" w:type="dxa"/>
            </w:tcMar>
          </w:tcPr>
          <w:p w14:paraId="503B1DCD" w14:textId="3F62CE80" w:rsidR="007A4C0A" w:rsidRDefault="007A4C0A" w:rsidP="00560FBB">
            <w:pPr>
              <w:spacing w:before="40" w:after="40" w:line="240" w:lineRule="auto"/>
              <w:rPr>
                <w:sz w:val="20"/>
                <w:szCs w:val="20"/>
                <w:lang w:eastAsia="en-GB"/>
              </w:rPr>
            </w:pPr>
            <w:r>
              <w:rPr>
                <w:sz w:val="20"/>
                <w:szCs w:val="20"/>
                <w:lang w:eastAsia="en-GB"/>
              </w:rPr>
              <w:t>18</w:t>
            </w:r>
          </w:p>
        </w:tc>
        <w:tc>
          <w:tcPr>
            <w:tcW w:w="820" w:type="dxa"/>
            <w:shd w:val="clear" w:color="auto" w:fill="auto"/>
            <w:vAlign w:val="center"/>
          </w:tcPr>
          <w:p w14:paraId="06F31F49" w14:textId="35D2B6A4"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PR14SESHHR_B3</w:t>
            </w:r>
          </w:p>
        </w:tc>
        <w:tc>
          <w:tcPr>
            <w:tcW w:w="5601" w:type="dxa"/>
            <w:shd w:val="clear" w:color="auto" w:fill="auto"/>
            <w:tcMar>
              <w:top w:w="15" w:type="dxa"/>
              <w:left w:w="54" w:type="dxa"/>
              <w:bottom w:w="0" w:type="dxa"/>
              <w:right w:w="54" w:type="dxa"/>
            </w:tcMar>
            <w:vAlign w:val="center"/>
          </w:tcPr>
          <w:p w14:paraId="3803F6E2" w14:textId="6FB5900F"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B3: Customer perception of value for money</w:t>
            </w:r>
          </w:p>
        </w:tc>
        <w:tc>
          <w:tcPr>
            <w:tcW w:w="942" w:type="dxa"/>
            <w:shd w:val="clear" w:color="auto" w:fill="auto"/>
            <w:tcMar>
              <w:top w:w="15" w:type="dxa"/>
              <w:left w:w="54" w:type="dxa"/>
              <w:bottom w:w="0" w:type="dxa"/>
              <w:right w:w="54" w:type="dxa"/>
            </w:tcMar>
            <w:vAlign w:val="center"/>
          </w:tcPr>
          <w:p w14:paraId="0B22FAE5" w14:textId="2364918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919" w:type="dxa"/>
            <w:shd w:val="clear" w:color="auto" w:fill="auto"/>
            <w:tcMar>
              <w:top w:w="15" w:type="dxa"/>
              <w:left w:w="54" w:type="dxa"/>
              <w:bottom w:w="0" w:type="dxa"/>
              <w:right w:w="54" w:type="dxa"/>
            </w:tcMar>
            <w:vAlign w:val="center"/>
          </w:tcPr>
          <w:p w14:paraId="57FFDEE8" w14:textId="642FA81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E176192" w14:textId="1350F94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3206D81C" w14:textId="247756EF"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4B9D7B3E" w14:textId="114ECF4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738DE7E4" w14:textId="17721F46"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26060506" w14:textId="1026836B"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09BBD5D4" w14:textId="77777777" w:rsidTr="00E64F20">
        <w:trPr>
          <w:trHeight w:val="166"/>
        </w:trPr>
        <w:tc>
          <w:tcPr>
            <w:tcW w:w="511" w:type="dxa"/>
            <w:shd w:val="clear" w:color="auto" w:fill="auto"/>
            <w:tcMar>
              <w:top w:w="15" w:type="dxa"/>
              <w:left w:w="54" w:type="dxa"/>
              <w:bottom w:w="0" w:type="dxa"/>
              <w:right w:w="54" w:type="dxa"/>
            </w:tcMar>
          </w:tcPr>
          <w:p w14:paraId="7E67DBF9" w14:textId="4C98E562" w:rsidR="007A4C0A" w:rsidRDefault="007A4C0A" w:rsidP="00560FBB">
            <w:pPr>
              <w:spacing w:before="40" w:after="40" w:line="240" w:lineRule="auto"/>
              <w:rPr>
                <w:sz w:val="20"/>
                <w:szCs w:val="20"/>
                <w:lang w:eastAsia="en-GB"/>
              </w:rPr>
            </w:pPr>
            <w:r>
              <w:rPr>
                <w:sz w:val="20"/>
                <w:szCs w:val="20"/>
                <w:lang w:eastAsia="en-GB"/>
              </w:rPr>
              <w:t>19</w:t>
            </w:r>
          </w:p>
        </w:tc>
        <w:tc>
          <w:tcPr>
            <w:tcW w:w="820" w:type="dxa"/>
            <w:shd w:val="clear" w:color="auto" w:fill="auto"/>
            <w:vAlign w:val="center"/>
          </w:tcPr>
          <w:p w14:paraId="716ECBBA" w14:textId="308C622F"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w:t>
            </w:r>
            <w:r>
              <w:rPr>
                <w:rFonts w:cs="Arial"/>
                <w:sz w:val="18"/>
                <w:szCs w:val="18"/>
              </w:rPr>
              <w:lastRenderedPageBreak/>
              <w:t>SHHR_D1</w:t>
            </w:r>
          </w:p>
        </w:tc>
        <w:tc>
          <w:tcPr>
            <w:tcW w:w="5601" w:type="dxa"/>
            <w:shd w:val="clear" w:color="auto" w:fill="auto"/>
            <w:tcMar>
              <w:top w:w="15" w:type="dxa"/>
              <w:left w:w="54" w:type="dxa"/>
              <w:bottom w:w="0" w:type="dxa"/>
              <w:right w:w="54" w:type="dxa"/>
            </w:tcMar>
            <w:vAlign w:val="center"/>
          </w:tcPr>
          <w:p w14:paraId="428A8A8B" w14:textId="149F7566"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lastRenderedPageBreak/>
              <w:t xml:space="preserve">D1: Customer satisfaction (level of satisfaction in response to the </w:t>
            </w:r>
            <w:r>
              <w:rPr>
                <w:rFonts w:cs="Arial"/>
                <w:sz w:val="18"/>
                <w:szCs w:val="18"/>
              </w:rPr>
              <w:lastRenderedPageBreak/>
              <w:t>tracker survey (overall quality score))</w:t>
            </w:r>
          </w:p>
        </w:tc>
        <w:tc>
          <w:tcPr>
            <w:tcW w:w="942" w:type="dxa"/>
            <w:shd w:val="clear" w:color="auto" w:fill="auto"/>
            <w:tcMar>
              <w:top w:w="15" w:type="dxa"/>
              <w:left w:w="54" w:type="dxa"/>
              <w:bottom w:w="0" w:type="dxa"/>
              <w:right w:w="54" w:type="dxa"/>
            </w:tcMar>
            <w:vAlign w:val="center"/>
          </w:tcPr>
          <w:p w14:paraId="57F1C698" w14:textId="4467991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lastRenderedPageBreak/>
              <w:t>Yes</w:t>
            </w:r>
          </w:p>
        </w:tc>
        <w:tc>
          <w:tcPr>
            <w:tcW w:w="919" w:type="dxa"/>
            <w:shd w:val="clear" w:color="auto" w:fill="auto"/>
            <w:tcMar>
              <w:top w:w="15" w:type="dxa"/>
              <w:left w:w="54" w:type="dxa"/>
              <w:bottom w:w="0" w:type="dxa"/>
              <w:right w:w="54" w:type="dxa"/>
            </w:tcMar>
            <w:vAlign w:val="center"/>
          </w:tcPr>
          <w:p w14:paraId="715C95B9" w14:textId="55696C7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7E8D89D" w14:textId="4873BC6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3" w:type="dxa"/>
            <w:shd w:val="clear" w:color="auto" w:fill="auto"/>
            <w:vAlign w:val="center"/>
          </w:tcPr>
          <w:p w14:paraId="0ACAC300" w14:textId="1B1039E1"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1FA780D0" w14:textId="58891A8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78056CAC" w14:textId="1ECB397C"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0326FCC5" w14:textId="7569035D"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4C901F62" w14:textId="77777777" w:rsidTr="00E64F20">
        <w:trPr>
          <w:trHeight w:val="166"/>
        </w:trPr>
        <w:tc>
          <w:tcPr>
            <w:tcW w:w="511" w:type="dxa"/>
            <w:shd w:val="clear" w:color="auto" w:fill="auto"/>
            <w:tcMar>
              <w:top w:w="15" w:type="dxa"/>
              <w:left w:w="54" w:type="dxa"/>
              <w:bottom w:w="0" w:type="dxa"/>
              <w:right w:w="54" w:type="dxa"/>
            </w:tcMar>
          </w:tcPr>
          <w:p w14:paraId="0606EBB5" w14:textId="20A4B51F" w:rsidR="007A4C0A" w:rsidRDefault="007A4C0A" w:rsidP="00560FBB">
            <w:pPr>
              <w:spacing w:before="40" w:after="40" w:line="240" w:lineRule="auto"/>
              <w:rPr>
                <w:sz w:val="20"/>
                <w:szCs w:val="20"/>
                <w:lang w:eastAsia="en-GB"/>
              </w:rPr>
            </w:pPr>
            <w:r>
              <w:rPr>
                <w:sz w:val="20"/>
                <w:szCs w:val="20"/>
                <w:lang w:eastAsia="en-GB"/>
              </w:rPr>
              <w:t>20</w:t>
            </w:r>
          </w:p>
        </w:tc>
        <w:tc>
          <w:tcPr>
            <w:tcW w:w="820" w:type="dxa"/>
            <w:shd w:val="clear" w:color="auto" w:fill="auto"/>
            <w:vAlign w:val="center"/>
          </w:tcPr>
          <w:p w14:paraId="528D2003" w14:textId="72831936"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PR14SESHHR_D2</w:t>
            </w:r>
          </w:p>
        </w:tc>
        <w:tc>
          <w:tcPr>
            <w:tcW w:w="5601" w:type="dxa"/>
            <w:shd w:val="clear" w:color="auto" w:fill="auto"/>
            <w:tcMar>
              <w:top w:w="15" w:type="dxa"/>
              <w:left w:w="54" w:type="dxa"/>
              <w:bottom w:w="0" w:type="dxa"/>
              <w:right w:w="54" w:type="dxa"/>
            </w:tcMar>
            <w:vAlign w:val="center"/>
          </w:tcPr>
          <w:p w14:paraId="0B11F68D" w14:textId="2A6B20E8"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D2: Service incentive mechanism (SIM)</w:t>
            </w:r>
          </w:p>
        </w:tc>
        <w:tc>
          <w:tcPr>
            <w:tcW w:w="942" w:type="dxa"/>
            <w:shd w:val="clear" w:color="auto" w:fill="auto"/>
            <w:tcMar>
              <w:top w:w="15" w:type="dxa"/>
              <w:left w:w="54" w:type="dxa"/>
              <w:bottom w:w="0" w:type="dxa"/>
              <w:right w:w="54" w:type="dxa"/>
            </w:tcMar>
            <w:vAlign w:val="center"/>
          </w:tcPr>
          <w:p w14:paraId="4B2C3B8A" w14:textId="6ADA3A85"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7AF4FF6F" w14:textId="51040324"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23F85184" w14:textId="21F95B77"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085C091A" w14:textId="7636A078"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4" w:type="dxa"/>
            <w:shd w:val="clear" w:color="auto" w:fill="auto"/>
            <w:vAlign w:val="center"/>
          </w:tcPr>
          <w:p w14:paraId="4DD5DD3F" w14:textId="28B71D4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1334" w:type="dxa"/>
            <w:shd w:val="clear" w:color="auto" w:fill="auto"/>
            <w:vAlign w:val="center"/>
          </w:tcPr>
          <w:p w14:paraId="20959993" w14:textId="13EBB046"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26314E28" w14:textId="53D621BB"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7A4C0A" w:rsidRPr="003C5605" w14:paraId="4BD11CA1" w14:textId="77777777" w:rsidTr="00E64F20">
        <w:trPr>
          <w:trHeight w:val="166"/>
        </w:trPr>
        <w:tc>
          <w:tcPr>
            <w:tcW w:w="511" w:type="dxa"/>
            <w:shd w:val="clear" w:color="auto" w:fill="auto"/>
            <w:tcMar>
              <w:top w:w="15" w:type="dxa"/>
              <w:left w:w="54" w:type="dxa"/>
              <w:bottom w:w="0" w:type="dxa"/>
              <w:right w:w="54" w:type="dxa"/>
            </w:tcMar>
          </w:tcPr>
          <w:p w14:paraId="5010DE0C" w14:textId="69C53BE7" w:rsidR="007A4C0A" w:rsidRDefault="007A4C0A" w:rsidP="00560FBB">
            <w:pPr>
              <w:spacing w:before="40" w:after="40" w:line="240" w:lineRule="auto"/>
              <w:rPr>
                <w:sz w:val="20"/>
                <w:szCs w:val="20"/>
                <w:lang w:eastAsia="en-GB"/>
              </w:rPr>
            </w:pPr>
            <w:r>
              <w:rPr>
                <w:sz w:val="20"/>
                <w:szCs w:val="20"/>
                <w:lang w:eastAsia="en-GB"/>
              </w:rPr>
              <w:t>21</w:t>
            </w:r>
          </w:p>
        </w:tc>
        <w:tc>
          <w:tcPr>
            <w:tcW w:w="820" w:type="dxa"/>
            <w:shd w:val="clear" w:color="auto" w:fill="auto"/>
            <w:vAlign w:val="center"/>
          </w:tcPr>
          <w:p w14:paraId="32235E55" w14:textId="58D8D488"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PR14SESHHR_D3</w:t>
            </w:r>
          </w:p>
        </w:tc>
        <w:tc>
          <w:tcPr>
            <w:tcW w:w="5601" w:type="dxa"/>
            <w:shd w:val="clear" w:color="auto" w:fill="auto"/>
            <w:tcMar>
              <w:top w:w="15" w:type="dxa"/>
              <w:left w:w="54" w:type="dxa"/>
              <w:bottom w:w="0" w:type="dxa"/>
              <w:right w:w="54" w:type="dxa"/>
            </w:tcMar>
            <w:vAlign w:val="center"/>
          </w:tcPr>
          <w:p w14:paraId="11E6B2E8" w14:textId="115E37D5" w:rsidR="007A4C0A" w:rsidRPr="003C5605" w:rsidRDefault="007A4C0A" w:rsidP="00560FBB">
            <w:pPr>
              <w:spacing w:before="40" w:after="40" w:line="240" w:lineRule="auto"/>
              <w:rPr>
                <w:rFonts w:eastAsia="Times New Roman" w:cs="Arial"/>
                <w:sz w:val="20"/>
                <w:szCs w:val="20"/>
                <w:lang w:eastAsia="en-GB"/>
              </w:rPr>
            </w:pPr>
            <w:r>
              <w:rPr>
                <w:rFonts w:cs="Arial"/>
                <w:sz w:val="18"/>
                <w:szCs w:val="18"/>
              </w:rPr>
              <w:t>D3: Total number of complaints</w:t>
            </w:r>
          </w:p>
        </w:tc>
        <w:tc>
          <w:tcPr>
            <w:tcW w:w="942" w:type="dxa"/>
            <w:shd w:val="clear" w:color="auto" w:fill="auto"/>
            <w:tcMar>
              <w:top w:w="15" w:type="dxa"/>
              <w:left w:w="54" w:type="dxa"/>
              <w:bottom w:w="0" w:type="dxa"/>
              <w:right w:w="54" w:type="dxa"/>
            </w:tcMar>
            <w:vAlign w:val="center"/>
          </w:tcPr>
          <w:p w14:paraId="5A6A2175" w14:textId="6690925C"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919" w:type="dxa"/>
            <w:shd w:val="clear" w:color="auto" w:fill="auto"/>
            <w:tcMar>
              <w:top w:w="15" w:type="dxa"/>
              <w:left w:w="54" w:type="dxa"/>
              <w:bottom w:w="0" w:type="dxa"/>
              <w:right w:w="54" w:type="dxa"/>
            </w:tcMar>
            <w:vAlign w:val="center"/>
          </w:tcPr>
          <w:p w14:paraId="349261AB" w14:textId="534BC52A"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6EB9A0A1" w14:textId="1CD7ABC2"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No</w:t>
            </w:r>
          </w:p>
        </w:tc>
        <w:tc>
          <w:tcPr>
            <w:tcW w:w="853" w:type="dxa"/>
            <w:shd w:val="clear" w:color="auto" w:fill="auto"/>
            <w:vAlign w:val="center"/>
          </w:tcPr>
          <w:p w14:paraId="62543394" w14:textId="18E5009B"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854" w:type="dxa"/>
            <w:shd w:val="clear" w:color="auto" w:fill="auto"/>
            <w:vAlign w:val="center"/>
          </w:tcPr>
          <w:p w14:paraId="534B8E9B" w14:textId="2454E698" w:rsidR="007A4C0A" w:rsidRPr="003C5605" w:rsidRDefault="007A4C0A" w:rsidP="00560FBB">
            <w:pPr>
              <w:spacing w:before="40" w:after="40" w:line="240" w:lineRule="auto"/>
              <w:jc w:val="center"/>
              <w:rPr>
                <w:rFonts w:eastAsia="Times New Roman" w:cs="Arial"/>
                <w:sz w:val="20"/>
                <w:szCs w:val="20"/>
                <w:lang w:eastAsia="en-GB"/>
              </w:rPr>
            </w:pPr>
            <w:r>
              <w:rPr>
                <w:rFonts w:cs="Arial"/>
                <w:sz w:val="18"/>
                <w:szCs w:val="18"/>
              </w:rPr>
              <w:t>Yes</w:t>
            </w:r>
          </w:p>
        </w:tc>
        <w:tc>
          <w:tcPr>
            <w:tcW w:w="1334" w:type="dxa"/>
            <w:shd w:val="clear" w:color="auto" w:fill="auto"/>
            <w:vAlign w:val="center"/>
          </w:tcPr>
          <w:p w14:paraId="14AAA1FC" w14:textId="681F161B" w:rsidR="007A4C0A"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c>
          <w:tcPr>
            <w:tcW w:w="1335" w:type="dxa"/>
            <w:shd w:val="clear" w:color="auto" w:fill="auto"/>
            <w:vAlign w:val="center"/>
          </w:tcPr>
          <w:p w14:paraId="7114F392" w14:textId="0B9FEF31" w:rsidR="007A4C0A" w:rsidRPr="003C5605" w:rsidRDefault="007A4C0A" w:rsidP="00FD4E21">
            <w:pPr>
              <w:tabs>
                <w:tab w:val="left" w:pos="739"/>
              </w:tabs>
              <w:spacing w:before="40" w:after="40" w:line="240" w:lineRule="auto"/>
              <w:ind w:right="113"/>
              <w:rPr>
                <w:rFonts w:eastAsia="Times New Roman" w:cs="Arial"/>
                <w:sz w:val="20"/>
                <w:szCs w:val="20"/>
                <w:lang w:eastAsia="en-GB"/>
              </w:rPr>
            </w:pPr>
            <w:r>
              <w:rPr>
                <w:rFonts w:cs="Arial"/>
                <w:sz w:val="18"/>
                <w:szCs w:val="18"/>
              </w:rPr>
              <w:t>0.0000</w:t>
            </w:r>
          </w:p>
        </w:tc>
      </w:tr>
      <w:tr w:rsidR="00FD4E21" w:rsidRPr="00E51E9B" w14:paraId="26E9FEC2" w14:textId="77777777" w:rsidTr="007A4C0A">
        <w:trPr>
          <w:trHeight w:val="88"/>
        </w:trPr>
        <w:tc>
          <w:tcPr>
            <w:tcW w:w="11353" w:type="dxa"/>
            <w:gridSpan w:val="8"/>
            <w:shd w:val="clear" w:color="auto" w:fill="auto"/>
            <w:tcMar>
              <w:top w:w="15" w:type="dxa"/>
              <w:left w:w="54" w:type="dxa"/>
              <w:bottom w:w="0" w:type="dxa"/>
              <w:right w:w="54" w:type="dxa"/>
            </w:tcMar>
          </w:tcPr>
          <w:p w14:paraId="6755FBF1" w14:textId="7EAAC4B1" w:rsidR="00FD4E21" w:rsidRPr="007B1990" w:rsidRDefault="00FD4E21" w:rsidP="00E90A7E">
            <w:pPr>
              <w:spacing w:before="60" w:after="60" w:line="240" w:lineRule="auto"/>
              <w:jc w:val="right"/>
              <w:rPr>
                <w:rFonts w:asciiTheme="minorHAnsi" w:eastAsiaTheme="minorEastAsia" w:hAnsiTheme="minorHAnsi"/>
                <w:b/>
                <w:color w:val="0078C9" w:themeColor="accent1"/>
                <w:sz w:val="22"/>
                <w:lang w:eastAsia="en-GB"/>
              </w:rPr>
            </w:pPr>
            <w:r w:rsidRPr="4E03F48D">
              <w:rPr>
                <w:rFonts w:asciiTheme="minorHAnsi" w:eastAsiaTheme="minorEastAsia" w:hAnsiTheme="minorHAnsi"/>
                <w:b/>
                <w:color w:val="0078C9" w:themeColor="accent1"/>
                <w:sz w:val="22"/>
                <w:lang w:eastAsia="en-GB"/>
              </w:rPr>
              <w:t xml:space="preserve">Total </w:t>
            </w:r>
            <w:r w:rsidR="00E90A7E" w:rsidRPr="4E03F48D">
              <w:rPr>
                <w:rFonts w:asciiTheme="minorHAnsi" w:eastAsiaTheme="minorEastAsia" w:hAnsiTheme="minorHAnsi"/>
                <w:b/>
                <w:color w:val="0078C9" w:themeColor="accent1"/>
                <w:sz w:val="22"/>
                <w:lang w:eastAsia="en-GB"/>
              </w:rPr>
              <w:t>c</w:t>
            </w:r>
            <w:r w:rsidRPr="4E03F48D">
              <w:rPr>
                <w:rFonts w:asciiTheme="minorHAnsi" w:eastAsiaTheme="minorEastAsia" w:hAnsiTheme="minorHAnsi"/>
                <w:b/>
                <w:color w:val="0078C9" w:themeColor="accent1"/>
                <w:sz w:val="22"/>
                <w:lang w:eastAsia="en-GB"/>
              </w:rPr>
              <w:t>umulative financial ODI</w:t>
            </w:r>
          </w:p>
        </w:tc>
        <w:tc>
          <w:tcPr>
            <w:tcW w:w="1334" w:type="dxa"/>
            <w:shd w:val="clear" w:color="auto" w:fill="auto"/>
          </w:tcPr>
          <w:p w14:paraId="72738754" w14:textId="11A7D510" w:rsidR="00FD4E21" w:rsidRPr="007B1990" w:rsidRDefault="007A4C0A" w:rsidP="00A45C6C">
            <w:pPr>
              <w:spacing w:before="60" w:after="60" w:line="240" w:lineRule="auto"/>
              <w:ind w:right="113"/>
              <w:jc w:val="right"/>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0.6936</w:t>
            </w:r>
          </w:p>
        </w:tc>
        <w:tc>
          <w:tcPr>
            <w:tcW w:w="1335" w:type="dxa"/>
            <w:shd w:val="clear" w:color="auto" w:fill="auto"/>
          </w:tcPr>
          <w:p w14:paraId="68AF44A9" w14:textId="6EA58B5F" w:rsidR="00FD4E21" w:rsidRPr="007B1990" w:rsidRDefault="007A4C0A" w:rsidP="00A45C6C">
            <w:pPr>
              <w:spacing w:before="60" w:after="60" w:line="240" w:lineRule="auto"/>
              <w:ind w:right="113"/>
              <w:jc w:val="right"/>
              <w:rPr>
                <w:rFonts w:asciiTheme="minorHAnsi" w:eastAsia="Times New Roman" w:hAnsiTheme="minorHAnsi" w:cstheme="minorHAnsi"/>
                <w:b/>
                <w:color w:val="0078C9"/>
                <w:sz w:val="22"/>
                <w:lang w:eastAsia="en-GB"/>
              </w:rPr>
            </w:pPr>
            <w:r>
              <w:rPr>
                <w:rFonts w:asciiTheme="minorHAnsi" w:eastAsia="Times New Roman" w:hAnsiTheme="minorHAnsi" w:cstheme="minorHAnsi"/>
                <w:b/>
                <w:color w:val="0078C9"/>
                <w:sz w:val="22"/>
                <w:lang w:eastAsia="en-GB"/>
              </w:rPr>
              <w:t>0.1060</w:t>
            </w:r>
          </w:p>
        </w:tc>
      </w:tr>
    </w:tbl>
    <w:p w14:paraId="30740228" w14:textId="04462BBB" w:rsidR="008B71FE" w:rsidRPr="00E343D2" w:rsidRDefault="008B71FE" w:rsidP="00E343D2">
      <w:pPr>
        <w:spacing w:before="240" w:after="0"/>
        <w:rPr>
          <w:rFonts w:asciiTheme="minorHAnsi" w:eastAsiaTheme="minorEastAsia" w:hAnsiTheme="minorHAnsi"/>
        </w:rPr>
      </w:pPr>
      <w:bookmarkStart w:id="30" w:name="_Toc510692490"/>
      <w:r w:rsidRPr="00E343D2">
        <w:rPr>
          <w:rFonts w:asciiTheme="minorHAnsi" w:eastAsiaTheme="minorEastAsia" w:hAnsiTheme="minorHAnsi"/>
        </w:rPr>
        <w:t>We have shown a failure to meet our PCL for water quality and for customer contacts in relation to taste, odour or discolouration of water. These shortfalls need putting into context</w:t>
      </w:r>
      <w:r w:rsidR="00E343D2">
        <w:rPr>
          <w:rFonts w:asciiTheme="minorHAnsi" w:eastAsiaTheme="minorEastAsia" w:hAnsiTheme="minorHAnsi"/>
        </w:rPr>
        <w:t>:</w:t>
      </w:r>
    </w:p>
    <w:p w14:paraId="2F315340" w14:textId="22B04AB2" w:rsidR="008B71FE" w:rsidRPr="00E343D2" w:rsidRDefault="008B71FE" w:rsidP="00E343D2">
      <w:pPr>
        <w:pStyle w:val="ListParagraph"/>
        <w:numPr>
          <w:ilvl w:val="0"/>
          <w:numId w:val="19"/>
        </w:numPr>
        <w:spacing w:before="0" w:after="240"/>
        <w:ind w:left="714" w:hanging="357"/>
        <w:rPr>
          <w:rFonts w:asciiTheme="minorHAnsi" w:eastAsiaTheme="minorEastAsia" w:hAnsiTheme="minorHAnsi"/>
          <w:sz w:val="24"/>
        </w:rPr>
      </w:pPr>
      <w:r w:rsidRPr="00E343D2">
        <w:rPr>
          <w:rFonts w:asciiTheme="minorHAnsi" w:eastAsiaTheme="minorEastAsia" w:hAnsiTheme="minorHAnsi"/>
          <w:sz w:val="24"/>
        </w:rPr>
        <w:t>Our target for water quality is – and will remain – 100%</w:t>
      </w:r>
      <w:r w:rsidR="00E343D2">
        <w:rPr>
          <w:rFonts w:asciiTheme="minorHAnsi" w:eastAsiaTheme="minorEastAsia" w:hAnsiTheme="minorHAnsi"/>
          <w:sz w:val="24"/>
        </w:rPr>
        <w:t xml:space="preserve"> compliance</w:t>
      </w:r>
      <w:r w:rsidRPr="00E343D2">
        <w:rPr>
          <w:rFonts w:asciiTheme="minorHAnsi" w:eastAsiaTheme="minorEastAsia" w:hAnsiTheme="minorHAnsi"/>
          <w:sz w:val="24"/>
        </w:rPr>
        <w:t>. The use of a deadband recognises that achievement of 100% is unlikely. Our water quality performance has been within the agreed deadband and has been upper quartile for these years. Under the DWI’s new measures, we have also been industry leading or upper quartile</w:t>
      </w:r>
      <w:r w:rsidR="00E343D2">
        <w:rPr>
          <w:rFonts w:asciiTheme="minorHAnsi" w:eastAsiaTheme="minorEastAsia" w:hAnsiTheme="minorHAnsi"/>
          <w:sz w:val="24"/>
        </w:rPr>
        <w:t>.</w:t>
      </w:r>
    </w:p>
    <w:p w14:paraId="42DC8C23" w14:textId="6CFF0A78" w:rsidR="008B71FE" w:rsidRPr="00E343D2" w:rsidRDefault="00F865B0" w:rsidP="00E343D2">
      <w:pPr>
        <w:pStyle w:val="ListParagraph"/>
        <w:numPr>
          <w:ilvl w:val="0"/>
          <w:numId w:val="19"/>
        </w:numPr>
        <w:spacing w:before="0" w:after="240"/>
        <w:ind w:left="714" w:hanging="357"/>
        <w:rPr>
          <w:rFonts w:asciiTheme="minorHAnsi" w:eastAsiaTheme="minorEastAsia" w:hAnsiTheme="minorHAnsi"/>
          <w:sz w:val="24"/>
        </w:rPr>
      </w:pPr>
      <w:r w:rsidRPr="00E343D2">
        <w:rPr>
          <w:rFonts w:asciiTheme="minorHAnsi" w:eastAsiaTheme="minorEastAsia" w:hAnsiTheme="minorHAnsi"/>
          <w:sz w:val="24"/>
        </w:rPr>
        <w:t>Our performance on taste, odour and discolouration contacts has been industry leading</w:t>
      </w:r>
      <w:r w:rsidR="00E343D2">
        <w:rPr>
          <w:rFonts w:asciiTheme="minorHAnsi" w:eastAsiaTheme="minorEastAsia" w:hAnsiTheme="minorHAnsi"/>
          <w:sz w:val="24"/>
        </w:rPr>
        <w:t xml:space="preserve"> despite us missing what has been a very challenging target</w:t>
      </w:r>
      <w:r w:rsidRPr="00E343D2">
        <w:rPr>
          <w:rFonts w:asciiTheme="minorHAnsi" w:eastAsiaTheme="minorEastAsia" w:hAnsiTheme="minorHAnsi"/>
          <w:sz w:val="24"/>
        </w:rPr>
        <w:t xml:space="preserve">. </w:t>
      </w:r>
    </w:p>
    <w:p w14:paraId="72284877" w14:textId="51BF5B1B" w:rsidR="001C4B73" w:rsidRDefault="00DF00E8" w:rsidP="00E343D2">
      <w:pPr>
        <w:pStyle w:val="Tableheading"/>
        <w:keepNext/>
      </w:pPr>
      <w:r>
        <w:lastRenderedPageBreak/>
        <w:t>Table 4.2</w:t>
      </w:r>
      <w:r w:rsidRPr="7E0B751E">
        <w:t>:</w:t>
      </w:r>
      <w:r w:rsidR="00426B56">
        <w:t xml:space="preserve"> PR14</w:t>
      </w:r>
      <w:r w:rsidRPr="7E0B751E">
        <w:t xml:space="preserve"> </w:t>
      </w:r>
      <w:r>
        <w:t xml:space="preserve">Service Incentive Mechanism (SIM) Performance </w:t>
      </w:r>
    </w:p>
    <w:tbl>
      <w:tblPr>
        <w:tblW w:w="5000" w:type="pct"/>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Layout w:type="fixed"/>
        <w:tblCellMar>
          <w:left w:w="0" w:type="dxa"/>
          <w:right w:w="0" w:type="dxa"/>
        </w:tblCellMar>
        <w:tblLook w:val="04A0" w:firstRow="1" w:lastRow="0" w:firstColumn="1" w:lastColumn="0" w:noHBand="0" w:noVBand="1"/>
      </w:tblPr>
      <w:tblGrid>
        <w:gridCol w:w="6936"/>
        <w:gridCol w:w="2212"/>
        <w:gridCol w:w="2324"/>
        <w:gridCol w:w="2466"/>
      </w:tblGrid>
      <w:tr w:rsidR="00CC72C3" w:rsidRPr="003C5605" w14:paraId="4C31C5D5" w14:textId="77777777" w:rsidTr="00E64F20">
        <w:trPr>
          <w:trHeight w:val="517"/>
          <w:tblHeader/>
        </w:trPr>
        <w:tc>
          <w:tcPr>
            <w:tcW w:w="6978" w:type="dxa"/>
            <w:vMerge w:val="restart"/>
            <w:shd w:val="clear" w:color="auto" w:fill="E0DCD8"/>
            <w:tcMar>
              <w:top w:w="15" w:type="dxa"/>
              <w:left w:w="54" w:type="dxa"/>
              <w:bottom w:w="0" w:type="dxa"/>
              <w:right w:w="54" w:type="dxa"/>
            </w:tcMar>
            <w:vAlign w:val="center"/>
            <w:hideMark/>
          </w:tcPr>
          <w:p w14:paraId="5516B4C0" w14:textId="77BB41C3" w:rsidR="00CC72C3" w:rsidRPr="00F53029" w:rsidRDefault="00CC72C3" w:rsidP="00E343D2">
            <w:pPr>
              <w:keepNext/>
              <w:spacing w:before="0" w:after="0" w:line="252" w:lineRule="auto"/>
              <w:rPr>
                <w:rFonts w:ascii="Franklin Gothic Demi,Times New" w:eastAsia="Franklin Gothic Demi,Times New" w:hAnsi="Franklin Gothic Demi,Times New" w:cs="Franklin Gothic Demi,Times New"/>
                <w:color w:val="0078C9" w:themeColor="accent1"/>
                <w:lang w:eastAsia="en-GB"/>
              </w:rPr>
            </w:pPr>
            <w:r w:rsidRPr="4E03F48D">
              <w:rPr>
                <w:rFonts w:ascii="Franklin Gothic Demi" w:eastAsia="Franklin Gothic Demi" w:hAnsi="Franklin Gothic Demi" w:cs="Franklin Gothic Demi"/>
                <w:color w:val="0078C9" w:themeColor="accent1"/>
                <w:lang w:eastAsia="en-GB"/>
              </w:rPr>
              <w:t>SIM Performance</w:t>
            </w:r>
          </w:p>
        </w:tc>
        <w:tc>
          <w:tcPr>
            <w:tcW w:w="2225" w:type="dxa"/>
            <w:vMerge w:val="restart"/>
            <w:shd w:val="clear" w:color="auto" w:fill="E0DCD8"/>
            <w:tcMar>
              <w:top w:w="15" w:type="dxa"/>
              <w:left w:w="54" w:type="dxa"/>
              <w:bottom w:w="0" w:type="dxa"/>
              <w:right w:w="54" w:type="dxa"/>
            </w:tcMar>
            <w:vAlign w:val="center"/>
            <w:hideMark/>
          </w:tcPr>
          <w:p w14:paraId="699FF2F8" w14:textId="3B941261" w:rsidR="00CC72C3" w:rsidRPr="00F53029" w:rsidRDefault="00CC72C3" w:rsidP="00E343D2">
            <w:pPr>
              <w:keepNext/>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2015-16</w:t>
            </w:r>
          </w:p>
        </w:tc>
        <w:tc>
          <w:tcPr>
            <w:tcW w:w="2338" w:type="dxa"/>
            <w:vMerge w:val="restart"/>
            <w:shd w:val="clear" w:color="auto" w:fill="E0DCD8"/>
            <w:tcMar>
              <w:top w:w="15" w:type="dxa"/>
              <w:left w:w="54" w:type="dxa"/>
              <w:bottom w:w="0" w:type="dxa"/>
              <w:right w:w="54" w:type="dxa"/>
            </w:tcMar>
            <w:vAlign w:val="center"/>
          </w:tcPr>
          <w:p w14:paraId="19DC6B29" w14:textId="0C719C3B" w:rsidR="00CC72C3" w:rsidRPr="00F53029" w:rsidRDefault="00CC72C3" w:rsidP="00E343D2">
            <w:pPr>
              <w:keepNext/>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2016-17</w:t>
            </w:r>
          </w:p>
        </w:tc>
        <w:tc>
          <w:tcPr>
            <w:tcW w:w="2481" w:type="dxa"/>
            <w:vMerge w:val="restart"/>
            <w:shd w:val="clear" w:color="auto" w:fill="E0DCD8"/>
            <w:vAlign w:val="center"/>
          </w:tcPr>
          <w:p w14:paraId="3153B27C" w14:textId="77777777" w:rsidR="00CC72C3" w:rsidRPr="00F53029" w:rsidRDefault="00CC72C3" w:rsidP="00E343D2">
            <w:pPr>
              <w:keepNext/>
              <w:spacing w:before="0" w:after="0" w:line="252" w:lineRule="auto"/>
              <w:jc w:val="center"/>
              <w:rPr>
                <w:rFonts w:ascii="Franklin Gothic Demi" w:hAnsi="Franklin Gothic Demi"/>
                <w:color w:val="0078C9"/>
                <w:szCs w:val="24"/>
                <w:lang w:eastAsia="en-GB"/>
              </w:rPr>
            </w:pPr>
          </w:p>
          <w:p w14:paraId="0F09FE02" w14:textId="7D834DFC" w:rsidR="00CC72C3" w:rsidRPr="00F53029" w:rsidRDefault="00CC72C3" w:rsidP="00E343D2">
            <w:pPr>
              <w:keepNext/>
              <w:spacing w:before="0" w:after="0" w:line="252" w:lineRule="auto"/>
              <w:jc w:val="center"/>
              <w:rPr>
                <w:rFonts w:ascii="Franklin Gothic Demi" w:eastAsia="Franklin Gothic Demi" w:hAnsi="Franklin Gothic Demi" w:cs="Franklin Gothic Demi"/>
                <w:color w:val="0078C9" w:themeColor="accent1"/>
                <w:lang w:eastAsia="en-GB"/>
              </w:rPr>
            </w:pPr>
            <w:r w:rsidRPr="4E03F48D">
              <w:rPr>
                <w:rFonts w:ascii="Franklin Gothic Demi" w:eastAsia="Franklin Gothic Demi" w:hAnsi="Franklin Gothic Demi" w:cs="Franklin Gothic Demi"/>
                <w:color w:val="0078C9" w:themeColor="accent1"/>
                <w:lang w:eastAsia="en-GB"/>
              </w:rPr>
              <w:t>2017-18</w:t>
            </w:r>
          </w:p>
          <w:p w14:paraId="32DEE593" w14:textId="4DE88A91" w:rsidR="00CC72C3" w:rsidRPr="00F53029" w:rsidRDefault="00CC72C3" w:rsidP="00E343D2">
            <w:pPr>
              <w:keepNext/>
              <w:spacing w:before="0" w:after="0" w:line="252" w:lineRule="auto"/>
              <w:jc w:val="center"/>
              <w:rPr>
                <w:rFonts w:ascii="Franklin Gothic Demi" w:hAnsi="Franklin Gothic Demi"/>
                <w:color w:val="0078C9"/>
                <w:szCs w:val="24"/>
                <w:lang w:eastAsia="en-GB"/>
              </w:rPr>
            </w:pPr>
          </w:p>
        </w:tc>
      </w:tr>
      <w:tr w:rsidR="00CC72C3" w:rsidRPr="003C5605" w14:paraId="313C2DA6" w14:textId="77777777" w:rsidTr="00E64F20">
        <w:trPr>
          <w:trHeight w:val="310"/>
        </w:trPr>
        <w:tc>
          <w:tcPr>
            <w:tcW w:w="6978" w:type="dxa"/>
            <w:vMerge/>
            <w:shd w:val="clear" w:color="auto" w:fill="auto"/>
            <w:tcMar>
              <w:top w:w="15" w:type="dxa"/>
              <w:left w:w="54" w:type="dxa"/>
              <w:bottom w:w="0" w:type="dxa"/>
              <w:right w:w="54" w:type="dxa"/>
            </w:tcMar>
          </w:tcPr>
          <w:p w14:paraId="3C186150" w14:textId="77777777" w:rsidR="00CC72C3" w:rsidRPr="003C5605" w:rsidRDefault="00CC72C3" w:rsidP="005171F2">
            <w:pPr>
              <w:spacing w:before="40" w:after="40" w:line="240" w:lineRule="auto"/>
              <w:rPr>
                <w:rFonts w:eastAsia="Times New Roman" w:cs="Arial"/>
                <w:sz w:val="20"/>
                <w:szCs w:val="20"/>
                <w:lang w:eastAsia="en-GB"/>
              </w:rPr>
            </w:pPr>
          </w:p>
        </w:tc>
        <w:tc>
          <w:tcPr>
            <w:tcW w:w="2225" w:type="dxa"/>
            <w:vMerge/>
            <w:shd w:val="clear" w:color="auto" w:fill="auto"/>
            <w:tcMar>
              <w:top w:w="15" w:type="dxa"/>
              <w:left w:w="54" w:type="dxa"/>
              <w:bottom w:w="0" w:type="dxa"/>
              <w:right w:w="54" w:type="dxa"/>
            </w:tcMar>
          </w:tcPr>
          <w:p w14:paraId="0E5A0D89"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338" w:type="dxa"/>
            <w:vMerge/>
            <w:shd w:val="clear" w:color="auto" w:fill="auto"/>
            <w:tcMar>
              <w:top w:w="15" w:type="dxa"/>
              <w:left w:w="54" w:type="dxa"/>
              <w:bottom w:w="0" w:type="dxa"/>
              <w:right w:w="54" w:type="dxa"/>
            </w:tcMar>
          </w:tcPr>
          <w:p w14:paraId="2FC60195" w14:textId="77777777" w:rsidR="00CC72C3" w:rsidRPr="003C5605" w:rsidRDefault="00CC72C3" w:rsidP="005171F2">
            <w:pPr>
              <w:spacing w:before="40" w:after="40" w:line="240" w:lineRule="auto"/>
              <w:jc w:val="center"/>
              <w:rPr>
                <w:rFonts w:eastAsia="Times New Roman" w:cs="Arial"/>
                <w:sz w:val="20"/>
                <w:szCs w:val="20"/>
                <w:lang w:eastAsia="en-GB"/>
              </w:rPr>
            </w:pPr>
          </w:p>
        </w:tc>
        <w:tc>
          <w:tcPr>
            <w:tcW w:w="2481" w:type="dxa"/>
            <w:vMerge/>
            <w:shd w:val="clear" w:color="auto" w:fill="auto"/>
          </w:tcPr>
          <w:p w14:paraId="5A378F8A" w14:textId="77777777" w:rsidR="00CC72C3" w:rsidRPr="003C5605" w:rsidRDefault="00CC72C3" w:rsidP="005171F2">
            <w:pPr>
              <w:spacing w:before="40" w:after="40" w:line="240" w:lineRule="auto"/>
              <w:jc w:val="center"/>
              <w:rPr>
                <w:rFonts w:eastAsia="Times New Roman" w:cs="Arial"/>
                <w:sz w:val="20"/>
                <w:szCs w:val="20"/>
                <w:lang w:eastAsia="en-GB"/>
              </w:rPr>
            </w:pPr>
          </w:p>
        </w:tc>
      </w:tr>
      <w:tr w:rsidR="00E64F20" w:rsidRPr="003C5605" w14:paraId="618063D9" w14:textId="77777777" w:rsidTr="00E64F20">
        <w:trPr>
          <w:trHeight w:val="166"/>
        </w:trPr>
        <w:tc>
          <w:tcPr>
            <w:tcW w:w="6978" w:type="dxa"/>
            <w:shd w:val="clear" w:color="auto" w:fill="auto"/>
            <w:tcMar>
              <w:top w:w="15" w:type="dxa"/>
              <w:left w:w="54" w:type="dxa"/>
              <w:bottom w:w="0" w:type="dxa"/>
              <w:right w:w="54" w:type="dxa"/>
            </w:tcMar>
          </w:tcPr>
          <w:p w14:paraId="7ACF4331" w14:textId="539054CC" w:rsidR="00E64F20" w:rsidRPr="003C5605" w:rsidRDefault="00E64F20" w:rsidP="005171F2">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Total annual SIM score (out of 100)</w:t>
            </w:r>
          </w:p>
        </w:tc>
        <w:tc>
          <w:tcPr>
            <w:tcW w:w="2225" w:type="dxa"/>
            <w:shd w:val="clear" w:color="auto" w:fill="auto"/>
            <w:tcMar>
              <w:top w:w="15" w:type="dxa"/>
              <w:left w:w="54" w:type="dxa"/>
              <w:bottom w:w="0" w:type="dxa"/>
              <w:right w:w="54" w:type="dxa"/>
            </w:tcMar>
            <w:vAlign w:val="center"/>
          </w:tcPr>
          <w:p w14:paraId="7C51AABB" w14:textId="150394AE" w:rsidR="00E64F20" w:rsidRPr="003C5605" w:rsidRDefault="00E64F20" w:rsidP="005171F2">
            <w:pPr>
              <w:spacing w:before="40" w:after="40" w:line="240" w:lineRule="auto"/>
              <w:jc w:val="center"/>
              <w:rPr>
                <w:rFonts w:eastAsia="Times New Roman" w:cs="Arial"/>
                <w:sz w:val="20"/>
                <w:szCs w:val="20"/>
                <w:lang w:eastAsia="en-GB"/>
              </w:rPr>
            </w:pPr>
            <w:r>
              <w:rPr>
                <w:rFonts w:cs="Arial"/>
                <w:color w:val="000000"/>
                <w:sz w:val="18"/>
                <w:szCs w:val="18"/>
              </w:rPr>
              <w:t>80.8</w:t>
            </w:r>
          </w:p>
        </w:tc>
        <w:tc>
          <w:tcPr>
            <w:tcW w:w="2338" w:type="dxa"/>
            <w:shd w:val="clear" w:color="auto" w:fill="auto"/>
            <w:tcMar>
              <w:top w:w="15" w:type="dxa"/>
              <w:left w:w="54" w:type="dxa"/>
              <w:bottom w:w="0" w:type="dxa"/>
              <w:right w:w="54" w:type="dxa"/>
            </w:tcMar>
            <w:vAlign w:val="center"/>
          </w:tcPr>
          <w:p w14:paraId="640FB28E" w14:textId="456BA536" w:rsidR="00E64F20" w:rsidRPr="003C5605" w:rsidRDefault="00E64F20" w:rsidP="005171F2">
            <w:pPr>
              <w:spacing w:before="40" w:after="40" w:line="240" w:lineRule="auto"/>
              <w:jc w:val="center"/>
              <w:rPr>
                <w:rFonts w:eastAsia="Times New Roman" w:cs="Arial"/>
                <w:sz w:val="20"/>
                <w:szCs w:val="20"/>
                <w:lang w:eastAsia="en-GB"/>
              </w:rPr>
            </w:pPr>
            <w:r>
              <w:rPr>
                <w:rFonts w:cs="Arial"/>
                <w:color w:val="000000"/>
                <w:sz w:val="18"/>
                <w:szCs w:val="18"/>
              </w:rPr>
              <w:t>79.6</w:t>
            </w:r>
          </w:p>
        </w:tc>
        <w:tc>
          <w:tcPr>
            <w:tcW w:w="2481" w:type="dxa"/>
            <w:shd w:val="clear" w:color="auto" w:fill="auto"/>
            <w:vAlign w:val="center"/>
          </w:tcPr>
          <w:p w14:paraId="4941DDB5" w14:textId="4DADE5D4" w:rsidR="00E64F20" w:rsidRPr="003C5605" w:rsidRDefault="00E64F20" w:rsidP="005171F2">
            <w:pPr>
              <w:spacing w:before="40" w:after="40" w:line="240" w:lineRule="auto"/>
              <w:jc w:val="center"/>
              <w:rPr>
                <w:rFonts w:eastAsia="Times New Roman" w:cs="Arial"/>
                <w:sz w:val="20"/>
                <w:szCs w:val="20"/>
                <w:lang w:eastAsia="en-GB"/>
              </w:rPr>
            </w:pPr>
            <w:r>
              <w:rPr>
                <w:rFonts w:cs="Arial"/>
                <w:color w:val="000000"/>
                <w:sz w:val="18"/>
                <w:szCs w:val="18"/>
              </w:rPr>
              <w:t>78.7</w:t>
            </w:r>
          </w:p>
        </w:tc>
      </w:tr>
    </w:tbl>
    <w:p w14:paraId="4DA22458" w14:textId="2990788A" w:rsidR="00572D79" w:rsidRDefault="00572D79" w:rsidP="00DE4468">
      <w:pPr>
        <w:pStyle w:val="Tableheading"/>
      </w:pPr>
    </w:p>
    <w:p w14:paraId="4368E11A" w14:textId="41BE58A8" w:rsidR="00DF00E8" w:rsidRPr="00572D79" w:rsidRDefault="00572D79" w:rsidP="00572D79">
      <w:pPr>
        <w:spacing w:before="0" w:after="200" w:line="276" w:lineRule="auto"/>
        <w:rPr>
          <w:rFonts w:ascii="Franklin Gothic Demi" w:eastAsia="Times New Roman" w:hAnsi="Franklin Gothic Demi" w:cs="Arial"/>
          <w:color w:val="003479"/>
          <w:szCs w:val="24"/>
          <w:lang w:val="en" w:eastAsia="en-GB"/>
        </w:rPr>
      </w:pPr>
      <w:r>
        <w:br w:type="page"/>
      </w:r>
    </w:p>
    <w:p w14:paraId="3480673D" w14:textId="3CEAF750" w:rsidR="00F44D56" w:rsidRPr="00F45E79" w:rsidRDefault="00E402B3" w:rsidP="004448A4">
      <w:pPr>
        <w:pStyle w:val="Heading1"/>
      </w:pPr>
      <w:bookmarkStart w:id="31" w:name="_Toc523481609"/>
      <w:r>
        <w:lastRenderedPageBreak/>
        <w:t>Appendix</w:t>
      </w:r>
      <w:r w:rsidR="004B5A05">
        <w:t xml:space="preserve"> 5</w:t>
      </w:r>
      <w:r w:rsidR="00741C5A" w:rsidRPr="00F45E79">
        <w:t xml:space="preserve">: </w:t>
      </w:r>
      <w:r w:rsidR="004448A4">
        <w:t>PR19 p</w:t>
      </w:r>
      <w:r w:rsidR="00CA0DEB" w:rsidRPr="00F45E79">
        <w:t xml:space="preserve">roposed </w:t>
      </w:r>
      <w:r w:rsidR="004448A4">
        <w:t>performance c</w:t>
      </w:r>
      <w:r w:rsidR="00271A78" w:rsidRPr="00F45E79">
        <w:t>ommitments</w:t>
      </w:r>
      <w:bookmarkEnd w:id="30"/>
      <w:bookmarkEnd w:id="31"/>
      <w:r w:rsidR="00271A78" w:rsidRPr="00F45E79">
        <w:tab/>
      </w:r>
    </w:p>
    <w:p w14:paraId="3D05596A" w14:textId="7A6CAF20" w:rsidR="005F1910" w:rsidRPr="004E411A" w:rsidRDefault="00774B66" w:rsidP="00007BDD">
      <w:pPr>
        <w:pStyle w:val="Tableheading"/>
      </w:pPr>
      <w:bookmarkStart w:id="32" w:name="_Toc510692491"/>
      <w:r>
        <w:t>Table 5</w:t>
      </w:r>
      <w:r w:rsidR="7E0B751E" w:rsidRPr="7E0B751E">
        <w:t xml:space="preserve">.1: Common Performance </w:t>
      </w:r>
      <w:r w:rsidR="7E0B751E" w:rsidRPr="00007BDD">
        <w:t>Commitments</w:t>
      </w:r>
      <w:bookmarkEnd w:id="32"/>
    </w:p>
    <w:tbl>
      <w:tblPr>
        <w:tblW w:w="14090" w:type="dxa"/>
        <w:tblInd w:w="-152" w:type="dxa"/>
        <w:tblBorders>
          <w:top w:val="single" w:sz="8" w:space="0" w:color="857362"/>
          <w:left w:val="single" w:sz="8" w:space="0" w:color="857362"/>
          <w:bottom w:val="single" w:sz="8" w:space="0" w:color="857362"/>
          <w:right w:val="single" w:sz="8" w:space="0" w:color="857362"/>
          <w:insideH w:val="single" w:sz="8" w:space="0" w:color="857362"/>
          <w:insideV w:val="single" w:sz="8" w:space="0" w:color="857362"/>
        </w:tblBorders>
        <w:tblCellMar>
          <w:left w:w="0" w:type="dxa"/>
          <w:right w:w="0" w:type="dxa"/>
        </w:tblCellMar>
        <w:tblLook w:val="04A0" w:firstRow="1" w:lastRow="0" w:firstColumn="1" w:lastColumn="0" w:noHBand="0" w:noVBand="1"/>
      </w:tblPr>
      <w:tblGrid>
        <w:gridCol w:w="425"/>
        <w:gridCol w:w="3827"/>
        <w:gridCol w:w="1211"/>
        <w:gridCol w:w="1938"/>
        <w:gridCol w:w="2069"/>
        <w:gridCol w:w="1481"/>
        <w:gridCol w:w="1575"/>
        <w:gridCol w:w="1564"/>
      </w:tblGrid>
      <w:tr w:rsidR="00F1758B" w:rsidRPr="00AA2BE9" w14:paraId="148F177B" w14:textId="29F50320" w:rsidTr="00572D79">
        <w:trPr>
          <w:trHeight w:val="450"/>
          <w:tblHeader/>
        </w:trPr>
        <w:tc>
          <w:tcPr>
            <w:tcW w:w="425" w:type="dxa"/>
            <w:shd w:val="clear" w:color="auto" w:fill="E0DCD8"/>
            <w:tcMar>
              <w:top w:w="15" w:type="dxa"/>
              <w:left w:w="54" w:type="dxa"/>
              <w:bottom w:w="0" w:type="dxa"/>
              <w:right w:w="54" w:type="dxa"/>
            </w:tcMar>
            <w:vAlign w:val="center"/>
            <w:hideMark/>
          </w:tcPr>
          <w:p w14:paraId="7B62F49D" w14:textId="77777777" w:rsidR="00F1758B" w:rsidRPr="00AA2BE9" w:rsidRDefault="00F1758B" w:rsidP="00AA2BE9">
            <w:pPr>
              <w:spacing w:before="80" w:after="80" w:line="252" w:lineRule="auto"/>
              <w:rPr>
                <w:rFonts w:ascii="Arial,Times New Roman" w:eastAsia="Arial,Times New Roman" w:hAnsi="Arial,Times New Roman" w:cs="Arial,Times New Roman"/>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No.</w:t>
            </w:r>
          </w:p>
        </w:tc>
        <w:tc>
          <w:tcPr>
            <w:tcW w:w="3827" w:type="dxa"/>
            <w:shd w:val="clear" w:color="auto" w:fill="E0DCD8"/>
            <w:tcMar>
              <w:top w:w="15" w:type="dxa"/>
              <w:left w:w="54" w:type="dxa"/>
              <w:bottom w:w="0" w:type="dxa"/>
              <w:right w:w="54" w:type="dxa"/>
            </w:tcMar>
            <w:vAlign w:val="center"/>
            <w:hideMark/>
          </w:tcPr>
          <w:p w14:paraId="1E4F1E6D" w14:textId="635A6C34" w:rsidR="00F1758B" w:rsidRPr="00AA2BE9" w:rsidRDefault="00F1758B" w:rsidP="00AA2BE9">
            <w:pPr>
              <w:spacing w:before="80" w:after="80" w:line="252" w:lineRule="auto"/>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Common performance commitment</w:t>
            </w:r>
            <w:r w:rsidRPr="4E03F48D">
              <w:rPr>
                <w:rStyle w:val="FootnoteReference"/>
                <w:rFonts w:ascii="Franklin Gothic Demi,Times New" w:eastAsia="Franklin Gothic Demi,Times New" w:hAnsi="Franklin Gothic Demi,Times New" w:cs="Franklin Gothic Demi,Times New"/>
                <w:color w:val="0078C9"/>
                <w:kern w:val="24"/>
                <w:sz w:val="22"/>
                <w:lang w:eastAsia="en-GB"/>
              </w:rPr>
              <w:footnoteReference w:id="6"/>
            </w:r>
          </w:p>
        </w:tc>
        <w:tc>
          <w:tcPr>
            <w:tcW w:w="1211" w:type="dxa"/>
            <w:shd w:val="clear" w:color="auto" w:fill="E0DCD8"/>
          </w:tcPr>
          <w:p w14:paraId="5FF12967" w14:textId="77777777" w:rsidR="00F1758B" w:rsidRDefault="00F1758B" w:rsidP="00AA2BE9">
            <w:pPr>
              <w:spacing w:before="80" w:after="80" w:line="252" w:lineRule="auto"/>
              <w:jc w:val="center"/>
              <w:rPr>
                <w:rFonts w:ascii="Franklin Gothic Demi" w:eastAsia="Times New Roman" w:hAnsi="Franklin Gothic Demi"/>
                <w:bCs/>
                <w:color w:val="0078C9"/>
                <w:kern w:val="24"/>
                <w:sz w:val="22"/>
                <w:lang w:eastAsia="en-GB"/>
              </w:rPr>
            </w:pPr>
          </w:p>
          <w:p w14:paraId="1EB1902C" w14:textId="6D65535F"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ID (</w:t>
            </w:r>
            <w:proofErr w:type="spellStart"/>
            <w:r w:rsidRPr="4E03F48D">
              <w:rPr>
                <w:rFonts w:ascii="Franklin Gothic Demi" w:eastAsia="Franklin Gothic Demi" w:hAnsi="Franklin Gothic Demi" w:cs="Franklin Gothic Demi"/>
                <w:color w:val="0078C9"/>
                <w:kern w:val="24"/>
                <w:sz w:val="22"/>
                <w:lang w:eastAsia="en-GB"/>
              </w:rPr>
              <w:t>eg</w:t>
            </w:r>
            <w:proofErr w:type="spellEnd"/>
            <w:r w:rsidRPr="4E03F48D">
              <w:rPr>
                <w:rFonts w:ascii="Franklin Gothic Demi" w:eastAsia="Franklin Gothic Demi" w:hAnsi="Franklin Gothic Demi" w:cs="Franklin Gothic Demi"/>
                <w:color w:val="0078C9"/>
                <w:kern w:val="24"/>
                <w:sz w:val="22"/>
                <w:lang w:eastAsia="en-GB"/>
              </w:rPr>
              <w:t xml:space="preserve"> W-A1)</w:t>
            </w:r>
          </w:p>
        </w:tc>
        <w:tc>
          <w:tcPr>
            <w:tcW w:w="1938" w:type="dxa"/>
            <w:shd w:val="clear" w:color="auto" w:fill="E0DCD8"/>
            <w:tcMar>
              <w:top w:w="15" w:type="dxa"/>
              <w:left w:w="54" w:type="dxa"/>
              <w:bottom w:w="0" w:type="dxa"/>
              <w:right w:w="54" w:type="dxa"/>
            </w:tcMar>
            <w:vAlign w:val="center"/>
            <w:hideMark/>
          </w:tcPr>
          <w:p w14:paraId="5D45CF8D" w14:textId="65F90E96" w:rsidR="00F1758B" w:rsidRDefault="00F1758B" w:rsidP="00AA2BE9">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2019-20</w:t>
            </w:r>
          </w:p>
          <w:p w14:paraId="7ED9BCBC" w14:textId="4C0260BC" w:rsidR="00F1758B" w:rsidRDefault="00F1758B" w:rsidP="00900708">
            <w:pPr>
              <w:spacing w:before="80" w:after="80" w:line="252" w:lineRule="auto"/>
              <w:jc w:val="center"/>
              <w:rPr>
                <w:rFonts w:ascii="Franklin Gothic Demi,Calibri" w:eastAsia="Franklin Gothic Demi,Calibri" w:hAnsi="Franklin Gothic Demi,Calibri" w:cs="Franklin Gothic Demi,Calibri"/>
                <w:color w:val="0078C9" w:themeColor="accent1"/>
                <w:sz w:val="22"/>
                <w:lang w:eastAsia="en-GB"/>
              </w:rPr>
            </w:pPr>
            <w:r>
              <w:rPr>
                <w:rFonts w:ascii="Franklin Gothic Demi" w:eastAsia="Franklin Gothic Demi" w:hAnsi="Franklin Gothic Demi" w:cs="Franklin Gothic Demi"/>
                <w:color w:val="0078C9"/>
                <w:kern w:val="24"/>
                <w:sz w:val="22"/>
                <w:lang w:eastAsia="en-GB"/>
              </w:rPr>
              <w:t>forecast</w:t>
            </w:r>
            <w:r w:rsidRPr="4E03F48D">
              <w:rPr>
                <w:rFonts w:ascii="Franklin Gothic Demi" w:eastAsia="Franklin Gothic Demi" w:hAnsi="Franklin Gothic Demi" w:cs="Franklin Gothic Demi"/>
                <w:color w:val="0078C9"/>
                <w:kern w:val="24"/>
                <w:sz w:val="22"/>
                <w:lang w:eastAsia="en-GB"/>
              </w:rPr>
              <w:t xml:space="preserve"> performance level</w:t>
            </w:r>
          </w:p>
          <w:p w14:paraId="5C4F0AF2" w14:textId="62E92063" w:rsidR="00F1758B" w:rsidRPr="00FB1851" w:rsidRDefault="00F1758B" w:rsidP="00900708">
            <w:pPr>
              <w:spacing w:before="80" w:after="80" w:line="252" w:lineRule="auto"/>
              <w:jc w:val="center"/>
              <w:rPr>
                <w:rFonts w:asciiTheme="minorHAnsi" w:eastAsiaTheme="minorEastAsia" w:hAnsiTheme="minorHAnsi"/>
                <w:color w:val="0078C9" w:themeColor="accent1"/>
                <w:sz w:val="18"/>
                <w:szCs w:val="18"/>
                <w:lang w:eastAsia="en-GB"/>
              </w:rPr>
            </w:pPr>
            <w:r>
              <w:rPr>
                <w:rFonts w:asciiTheme="minorHAnsi" w:eastAsiaTheme="minorEastAsia" w:hAnsiTheme="minorHAnsi"/>
                <w:color w:val="0078C9"/>
                <w:kern w:val="24"/>
                <w:sz w:val="18"/>
                <w:szCs w:val="18"/>
                <w:lang w:eastAsia="en-GB"/>
              </w:rPr>
              <w:t>(where relevant</w:t>
            </w:r>
            <w:r w:rsidRPr="4E03F48D">
              <w:rPr>
                <w:rFonts w:asciiTheme="minorHAnsi" w:eastAsiaTheme="minorEastAsia" w:hAnsiTheme="minorHAnsi"/>
                <w:color w:val="0078C9"/>
                <w:kern w:val="24"/>
                <w:sz w:val="18"/>
                <w:szCs w:val="18"/>
                <w:lang w:eastAsia="en-GB"/>
              </w:rPr>
              <w:t>)</w:t>
            </w:r>
          </w:p>
        </w:tc>
        <w:tc>
          <w:tcPr>
            <w:tcW w:w="2069" w:type="dxa"/>
            <w:shd w:val="clear" w:color="auto" w:fill="E0DCD8"/>
            <w:tcMar>
              <w:top w:w="15" w:type="dxa"/>
              <w:left w:w="54" w:type="dxa"/>
              <w:bottom w:w="0" w:type="dxa"/>
              <w:right w:w="54" w:type="dxa"/>
            </w:tcMar>
            <w:vAlign w:val="center"/>
            <w:hideMark/>
          </w:tcPr>
          <w:p w14:paraId="0F02302C" w14:textId="7215D127"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2024-25</w:t>
            </w:r>
          </w:p>
          <w:p w14:paraId="5F63CD77" w14:textId="6EF4F442"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proposed performance commitment level</w:t>
            </w:r>
          </w:p>
        </w:tc>
        <w:tc>
          <w:tcPr>
            <w:tcW w:w="1481" w:type="dxa"/>
            <w:shd w:val="clear" w:color="auto" w:fill="E0DCD8"/>
            <w:vAlign w:val="center"/>
          </w:tcPr>
          <w:p w14:paraId="12CE291F" w14:textId="730A6068"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ODI type</w:t>
            </w:r>
          </w:p>
        </w:tc>
        <w:tc>
          <w:tcPr>
            <w:tcW w:w="1575" w:type="dxa"/>
            <w:shd w:val="clear" w:color="auto" w:fill="E0DCD8"/>
            <w:vAlign w:val="center"/>
          </w:tcPr>
          <w:p w14:paraId="33F75985" w14:textId="77777777" w:rsidR="00F1758B"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In period</w:t>
            </w:r>
            <w:r w:rsidRPr="4E03F48D">
              <w:rPr>
                <w:rFonts w:ascii="Franklin Gothic Demi,Times New" w:eastAsia="Franklin Gothic Demi,Times New" w:hAnsi="Franklin Gothic Demi,Times New" w:cs="Franklin Gothic Demi,Times New"/>
                <w:color w:val="0078C9"/>
                <w:kern w:val="24"/>
                <w:sz w:val="22"/>
                <w:lang w:eastAsia="en-GB"/>
              </w:rPr>
              <w:t xml:space="preserve"> /</w:t>
            </w:r>
          </w:p>
          <w:p w14:paraId="0A0C4A67" w14:textId="0A02A9D9" w:rsidR="00F1758B" w:rsidRPr="00AA2BE9" w:rsidRDefault="00F1758B" w:rsidP="00AA2BE9">
            <w:pPr>
              <w:spacing w:before="80" w:after="80" w:line="252" w:lineRule="auto"/>
              <w:jc w:val="center"/>
              <w:rPr>
                <w:rFonts w:ascii="Franklin Gothic Demi,Times New" w:eastAsia="Franklin Gothic Demi,Times New" w:hAnsi="Franklin Gothic Demi,Times New" w:cs="Franklin Gothic Demi,Times New"/>
                <w:color w:val="0078C9" w:themeColor="accent1"/>
                <w:sz w:val="22"/>
                <w:lang w:eastAsia="en-GB"/>
              </w:rPr>
            </w:pPr>
            <w:r w:rsidRPr="4E03F48D">
              <w:rPr>
                <w:rFonts w:ascii="Franklin Gothic Demi" w:eastAsia="Franklin Gothic Demi" w:hAnsi="Franklin Gothic Demi" w:cs="Franklin Gothic Demi"/>
                <w:color w:val="0078C9"/>
                <w:kern w:val="24"/>
                <w:sz w:val="22"/>
                <w:lang w:eastAsia="en-GB"/>
              </w:rPr>
              <w:t>end of period ODI</w:t>
            </w:r>
          </w:p>
        </w:tc>
        <w:tc>
          <w:tcPr>
            <w:tcW w:w="1564" w:type="dxa"/>
            <w:shd w:val="clear" w:color="auto" w:fill="E0DCD8"/>
          </w:tcPr>
          <w:p w14:paraId="233AB057" w14:textId="097D81D2"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2019-20 to 2024-25</w:t>
            </w:r>
          </w:p>
          <w:p w14:paraId="1D8BD086" w14:textId="77777777" w:rsidR="00F1758B" w:rsidRDefault="00F1758B" w:rsidP="00F1758B">
            <w:pPr>
              <w:pStyle w:val="Tabledescriptorcell1"/>
              <w:jc w:val="center"/>
              <w:rPr>
                <w:rStyle w:val="Strong"/>
                <w:rFonts w:ascii="Franklin Gothic Demi" w:hAnsi="Franklin Gothic Demi"/>
                <w:color w:val="0078D2"/>
              </w:rPr>
            </w:pPr>
            <w:r>
              <w:rPr>
                <w:rStyle w:val="Strong"/>
                <w:rFonts w:ascii="Franklin Gothic Demi" w:hAnsi="Franklin Gothic Demi"/>
                <w:color w:val="0078D2"/>
              </w:rPr>
              <w:t>% change</w:t>
            </w:r>
          </w:p>
          <w:p w14:paraId="378599FF" w14:textId="34750CEC" w:rsidR="00F1758B" w:rsidRPr="00F1758B" w:rsidRDefault="00F1758B" w:rsidP="00F1758B">
            <w:pPr>
              <w:spacing w:before="80" w:after="80" w:line="252" w:lineRule="auto"/>
              <w:jc w:val="center"/>
              <w:rPr>
                <w:rFonts w:asciiTheme="minorHAnsi" w:hAnsiTheme="minorHAnsi" w:cstheme="minorHAnsi"/>
                <w:noProof/>
                <w:color w:val="0078D2"/>
                <w:sz w:val="20"/>
                <w:szCs w:val="20"/>
              </w:rPr>
            </w:pPr>
            <w:r w:rsidRPr="00594842">
              <w:rPr>
                <w:rFonts w:eastAsiaTheme="minorEastAsia"/>
                <w:color w:val="0078C9"/>
                <w:kern w:val="24"/>
                <w:sz w:val="18"/>
                <w:szCs w:val="18"/>
                <w:lang w:eastAsia="en-GB"/>
              </w:rPr>
              <w:t>(leakage and PCC PCs)</w:t>
            </w:r>
          </w:p>
        </w:tc>
      </w:tr>
      <w:tr w:rsidR="00572D79" w:rsidRPr="002F7280" w14:paraId="74B727CA" w14:textId="63FBC4A6" w:rsidTr="00572D79">
        <w:trPr>
          <w:trHeight w:val="502"/>
        </w:trPr>
        <w:tc>
          <w:tcPr>
            <w:tcW w:w="425" w:type="dxa"/>
            <w:shd w:val="clear" w:color="auto" w:fill="auto"/>
            <w:tcMar>
              <w:top w:w="15" w:type="dxa"/>
              <w:left w:w="54" w:type="dxa"/>
              <w:bottom w:w="0" w:type="dxa"/>
              <w:right w:w="54" w:type="dxa"/>
            </w:tcMar>
            <w:hideMark/>
          </w:tcPr>
          <w:p w14:paraId="21B91976" w14:textId="38958159"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w:t>
            </w:r>
          </w:p>
        </w:tc>
        <w:tc>
          <w:tcPr>
            <w:tcW w:w="3827" w:type="dxa"/>
            <w:shd w:val="clear" w:color="auto" w:fill="auto"/>
            <w:tcMar>
              <w:top w:w="15" w:type="dxa"/>
              <w:left w:w="54" w:type="dxa"/>
              <w:bottom w:w="0" w:type="dxa"/>
              <w:right w:w="54" w:type="dxa"/>
            </w:tcMar>
            <w:hideMark/>
          </w:tcPr>
          <w:p w14:paraId="55129251" w14:textId="1400658F"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quality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the DWI’s Compliance Risk Index (CRI), a score greater than or equal to zero, where zero is least risk</w:t>
            </w:r>
          </w:p>
        </w:tc>
        <w:tc>
          <w:tcPr>
            <w:tcW w:w="1211" w:type="dxa"/>
            <w:vAlign w:val="center"/>
          </w:tcPr>
          <w:p w14:paraId="115D2A83" w14:textId="53F4F771"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PR19SES_A.4</w:t>
            </w:r>
          </w:p>
        </w:tc>
        <w:tc>
          <w:tcPr>
            <w:tcW w:w="1938" w:type="dxa"/>
            <w:shd w:val="clear" w:color="auto" w:fill="auto"/>
            <w:tcMar>
              <w:top w:w="15" w:type="dxa"/>
              <w:left w:w="54" w:type="dxa"/>
              <w:bottom w:w="0" w:type="dxa"/>
              <w:right w:w="54" w:type="dxa"/>
            </w:tcMar>
            <w:vAlign w:val="center"/>
          </w:tcPr>
          <w:p w14:paraId="44840E15" w14:textId="77C59592"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0.518</w:t>
            </w:r>
          </w:p>
        </w:tc>
        <w:tc>
          <w:tcPr>
            <w:tcW w:w="2069" w:type="dxa"/>
            <w:shd w:val="clear" w:color="auto" w:fill="auto"/>
            <w:tcMar>
              <w:top w:w="15" w:type="dxa"/>
              <w:left w:w="54" w:type="dxa"/>
              <w:bottom w:w="0" w:type="dxa"/>
              <w:right w:w="54" w:type="dxa"/>
            </w:tcMar>
            <w:vAlign w:val="center"/>
          </w:tcPr>
          <w:p w14:paraId="191D219C" w14:textId="7207F4FA"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0</w:t>
            </w:r>
          </w:p>
        </w:tc>
        <w:tc>
          <w:tcPr>
            <w:tcW w:w="1481" w:type="dxa"/>
            <w:shd w:val="clear" w:color="auto" w:fill="auto"/>
            <w:vAlign w:val="center"/>
          </w:tcPr>
          <w:p w14:paraId="0D9F1951" w14:textId="364E0D16"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Under</w:t>
            </w:r>
          </w:p>
        </w:tc>
        <w:tc>
          <w:tcPr>
            <w:tcW w:w="1575" w:type="dxa"/>
            <w:shd w:val="clear" w:color="auto" w:fill="auto"/>
            <w:vAlign w:val="center"/>
          </w:tcPr>
          <w:p w14:paraId="2B9B0262" w14:textId="6B58DEFB"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In-period</w:t>
            </w:r>
          </w:p>
        </w:tc>
        <w:tc>
          <w:tcPr>
            <w:tcW w:w="1564" w:type="dxa"/>
            <w:vMerge w:val="restart"/>
            <w:shd w:val="clear" w:color="auto" w:fill="E7E2DE" w:themeFill="accent2" w:themeFillTint="33"/>
          </w:tcPr>
          <w:p w14:paraId="4CB40F1D" w14:textId="77777777" w:rsidR="00572D79" w:rsidRDefault="00572D79" w:rsidP="00900708">
            <w:pPr>
              <w:spacing w:before="40" w:after="40" w:line="240" w:lineRule="auto"/>
              <w:jc w:val="center"/>
              <w:rPr>
                <w:rFonts w:eastAsia="Times New Roman" w:cs="Arial"/>
                <w:sz w:val="20"/>
                <w:szCs w:val="20"/>
                <w:lang w:eastAsia="en-GB"/>
              </w:rPr>
            </w:pPr>
          </w:p>
        </w:tc>
      </w:tr>
      <w:tr w:rsidR="00572D79" w:rsidRPr="002F7280" w14:paraId="515D00D9" w14:textId="1766A38B" w:rsidTr="00572D79">
        <w:trPr>
          <w:trHeight w:val="523"/>
        </w:trPr>
        <w:tc>
          <w:tcPr>
            <w:tcW w:w="425" w:type="dxa"/>
            <w:shd w:val="clear" w:color="auto" w:fill="auto"/>
            <w:tcMar>
              <w:top w:w="15" w:type="dxa"/>
              <w:left w:w="54" w:type="dxa"/>
              <w:bottom w:w="0" w:type="dxa"/>
              <w:right w:w="54" w:type="dxa"/>
            </w:tcMar>
            <w:hideMark/>
          </w:tcPr>
          <w:p w14:paraId="317E6772" w14:textId="63E01C72"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2</w:t>
            </w:r>
          </w:p>
        </w:tc>
        <w:tc>
          <w:tcPr>
            <w:tcW w:w="3827" w:type="dxa"/>
            <w:shd w:val="clear" w:color="auto" w:fill="auto"/>
            <w:tcMar>
              <w:top w:w="15" w:type="dxa"/>
              <w:left w:w="54" w:type="dxa"/>
              <w:bottom w:w="0" w:type="dxa"/>
              <w:right w:w="54" w:type="dxa"/>
            </w:tcMar>
            <w:hideMark/>
          </w:tcPr>
          <w:p w14:paraId="59534C04" w14:textId="7FA261C3" w:rsidR="00572D79" w:rsidRPr="002F7280" w:rsidRDefault="00572D79"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Water supply interruptions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average supply interruption greater than 3 hours (minutes per property)</w:t>
            </w:r>
          </w:p>
        </w:tc>
        <w:tc>
          <w:tcPr>
            <w:tcW w:w="1211" w:type="dxa"/>
            <w:vAlign w:val="center"/>
          </w:tcPr>
          <w:p w14:paraId="45C58327" w14:textId="4B6F22CB"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PR19SES_A.1</w:t>
            </w:r>
          </w:p>
        </w:tc>
        <w:tc>
          <w:tcPr>
            <w:tcW w:w="1938" w:type="dxa"/>
            <w:shd w:val="clear" w:color="auto" w:fill="auto"/>
            <w:tcMar>
              <w:top w:w="15" w:type="dxa"/>
              <w:left w:w="54" w:type="dxa"/>
              <w:bottom w:w="0" w:type="dxa"/>
              <w:right w:w="54" w:type="dxa"/>
            </w:tcMar>
            <w:vAlign w:val="center"/>
          </w:tcPr>
          <w:p w14:paraId="6B9819DB" w14:textId="019696E6"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2.8</w:t>
            </w:r>
          </w:p>
        </w:tc>
        <w:tc>
          <w:tcPr>
            <w:tcW w:w="2069" w:type="dxa"/>
            <w:shd w:val="clear" w:color="auto" w:fill="auto"/>
            <w:tcMar>
              <w:top w:w="15" w:type="dxa"/>
              <w:left w:w="54" w:type="dxa"/>
              <w:bottom w:w="0" w:type="dxa"/>
              <w:right w:w="54" w:type="dxa"/>
            </w:tcMar>
            <w:vAlign w:val="center"/>
          </w:tcPr>
          <w:p w14:paraId="4524CFAF" w14:textId="09279E2B"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2.1</w:t>
            </w:r>
          </w:p>
        </w:tc>
        <w:tc>
          <w:tcPr>
            <w:tcW w:w="1481" w:type="dxa"/>
            <w:shd w:val="clear" w:color="auto" w:fill="auto"/>
            <w:vAlign w:val="center"/>
          </w:tcPr>
          <w:p w14:paraId="3040406C" w14:textId="4FEB9C55"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Out &amp; under</w:t>
            </w:r>
          </w:p>
        </w:tc>
        <w:tc>
          <w:tcPr>
            <w:tcW w:w="1575" w:type="dxa"/>
            <w:shd w:val="clear" w:color="auto" w:fill="auto"/>
            <w:vAlign w:val="center"/>
          </w:tcPr>
          <w:p w14:paraId="2BF42C87" w14:textId="1CD93D83"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In-period</w:t>
            </w:r>
          </w:p>
        </w:tc>
        <w:tc>
          <w:tcPr>
            <w:tcW w:w="1564" w:type="dxa"/>
            <w:vMerge/>
            <w:shd w:val="clear" w:color="auto" w:fill="E7E2DE" w:themeFill="accent2" w:themeFillTint="33"/>
          </w:tcPr>
          <w:p w14:paraId="579CC843" w14:textId="77777777" w:rsidR="00572D79" w:rsidRDefault="00572D79" w:rsidP="00900708">
            <w:pPr>
              <w:spacing w:before="40" w:after="40" w:line="240" w:lineRule="auto"/>
              <w:jc w:val="center"/>
              <w:rPr>
                <w:rFonts w:eastAsia="Times New Roman" w:cs="Arial"/>
                <w:sz w:val="20"/>
                <w:szCs w:val="20"/>
                <w:lang w:eastAsia="en-GB"/>
              </w:rPr>
            </w:pPr>
          </w:p>
        </w:tc>
      </w:tr>
      <w:tr w:rsidR="00572D79" w:rsidRPr="002F7280" w14:paraId="1750D085" w14:textId="2DA1579C" w:rsidTr="00572D79">
        <w:trPr>
          <w:trHeight w:val="162"/>
        </w:trPr>
        <w:tc>
          <w:tcPr>
            <w:tcW w:w="425" w:type="dxa"/>
            <w:shd w:val="clear" w:color="auto" w:fill="auto"/>
            <w:tcMar>
              <w:top w:w="15" w:type="dxa"/>
              <w:left w:w="54" w:type="dxa"/>
              <w:bottom w:w="0" w:type="dxa"/>
              <w:right w:w="54" w:type="dxa"/>
            </w:tcMar>
          </w:tcPr>
          <w:p w14:paraId="338DA95A" w14:textId="2EDAE732"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3</w:t>
            </w:r>
          </w:p>
        </w:tc>
        <w:tc>
          <w:tcPr>
            <w:tcW w:w="3827" w:type="dxa"/>
            <w:shd w:val="clear" w:color="auto" w:fill="auto"/>
            <w:tcMar>
              <w:top w:w="15" w:type="dxa"/>
              <w:left w:w="54" w:type="dxa"/>
              <w:bottom w:w="0" w:type="dxa"/>
              <w:right w:w="54" w:type="dxa"/>
            </w:tcMar>
          </w:tcPr>
          <w:p w14:paraId="01F6F9A5" w14:textId="730DC3E8" w:rsidR="00572D79" w:rsidRDefault="00572D79" w:rsidP="00197ED5">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Mains bursts</w:t>
            </w:r>
            <w:r w:rsidRPr="4E03F48D">
              <w:rPr>
                <w:kern w:val="24"/>
                <w:sz w:val="20"/>
                <w:szCs w:val="20"/>
                <w:lang w:eastAsia="en-GB"/>
              </w:rPr>
              <w:t xml:space="preserve"> – number of water mains bursts per 1,000 kilometres of total length of mains</w:t>
            </w:r>
          </w:p>
        </w:tc>
        <w:tc>
          <w:tcPr>
            <w:tcW w:w="1211" w:type="dxa"/>
            <w:vAlign w:val="center"/>
          </w:tcPr>
          <w:p w14:paraId="08DABF2B" w14:textId="5519978A"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PR19SES_A.2</w:t>
            </w:r>
          </w:p>
        </w:tc>
        <w:tc>
          <w:tcPr>
            <w:tcW w:w="1938" w:type="dxa"/>
            <w:shd w:val="clear" w:color="auto" w:fill="auto"/>
            <w:tcMar>
              <w:top w:w="15" w:type="dxa"/>
              <w:left w:w="54" w:type="dxa"/>
              <w:bottom w:w="0" w:type="dxa"/>
              <w:right w:w="54" w:type="dxa"/>
            </w:tcMar>
            <w:vAlign w:val="center"/>
          </w:tcPr>
          <w:p w14:paraId="7AD3ECFB" w14:textId="51D777E0"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62.5</w:t>
            </w:r>
          </w:p>
        </w:tc>
        <w:tc>
          <w:tcPr>
            <w:tcW w:w="2069" w:type="dxa"/>
            <w:shd w:val="clear" w:color="auto" w:fill="auto"/>
            <w:tcMar>
              <w:top w:w="15" w:type="dxa"/>
              <w:left w:w="54" w:type="dxa"/>
              <w:bottom w:w="0" w:type="dxa"/>
              <w:right w:w="54" w:type="dxa"/>
            </w:tcMar>
            <w:vAlign w:val="center"/>
          </w:tcPr>
          <w:p w14:paraId="2F374250" w14:textId="521EB80C"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57.8</w:t>
            </w:r>
          </w:p>
        </w:tc>
        <w:tc>
          <w:tcPr>
            <w:tcW w:w="1481" w:type="dxa"/>
            <w:shd w:val="clear" w:color="auto" w:fill="auto"/>
            <w:vAlign w:val="center"/>
          </w:tcPr>
          <w:p w14:paraId="75F7BB78" w14:textId="7F877EDF"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Out &amp; under</w:t>
            </w:r>
          </w:p>
        </w:tc>
        <w:tc>
          <w:tcPr>
            <w:tcW w:w="1575" w:type="dxa"/>
            <w:shd w:val="clear" w:color="auto" w:fill="auto"/>
            <w:vAlign w:val="center"/>
          </w:tcPr>
          <w:p w14:paraId="3BDFE494" w14:textId="0C1B1B0A"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In-period</w:t>
            </w:r>
          </w:p>
        </w:tc>
        <w:tc>
          <w:tcPr>
            <w:tcW w:w="1564" w:type="dxa"/>
            <w:vMerge/>
            <w:shd w:val="clear" w:color="auto" w:fill="E7E2DE" w:themeFill="accent2" w:themeFillTint="33"/>
          </w:tcPr>
          <w:p w14:paraId="21AAB8BE" w14:textId="77777777" w:rsidR="00572D79" w:rsidRDefault="00572D79" w:rsidP="00900708">
            <w:pPr>
              <w:spacing w:before="40" w:after="40" w:line="240" w:lineRule="auto"/>
              <w:jc w:val="center"/>
              <w:rPr>
                <w:rFonts w:eastAsia="Times New Roman" w:cs="Arial"/>
                <w:sz w:val="20"/>
                <w:szCs w:val="20"/>
                <w:lang w:eastAsia="en-GB"/>
              </w:rPr>
            </w:pPr>
          </w:p>
        </w:tc>
      </w:tr>
      <w:tr w:rsidR="00572D79" w:rsidRPr="002F7280" w14:paraId="0E20F27C" w14:textId="21D2714C" w:rsidTr="00572D79">
        <w:trPr>
          <w:trHeight w:val="473"/>
        </w:trPr>
        <w:tc>
          <w:tcPr>
            <w:tcW w:w="425" w:type="dxa"/>
            <w:shd w:val="clear" w:color="auto" w:fill="auto"/>
            <w:tcMar>
              <w:top w:w="15" w:type="dxa"/>
              <w:left w:w="54" w:type="dxa"/>
              <w:bottom w:w="0" w:type="dxa"/>
              <w:right w:w="54" w:type="dxa"/>
            </w:tcMar>
          </w:tcPr>
          <w:p w14:paraId="383613C1" w14:textId="31790240"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lastRenderedPageBreak/>
              <w:t>4</w:t>
            </w:r>
          </w:p>
        </w:tc>
        <w:tc>
          <w:tcPr>
            <w:tcW w:w="3827" w:type="dxa"/>
            <w:shd w:val="clear" w:color="auto" w:fill="auto"/>
            <w:tcMar>
              <w:top w:w="15" w:type="dxa"/>
              <w:left w:w="54" w:type="dxa"/>
              <w:bottom w:w="0" w:type="dxa"/>
              <w:right w:w="54" w:type="dxa"/>
            </w:tcMar>
          </w:tcPr>
          <w:p w14:paraId="688DB902" w14:textId="03F116D1" w:rsidR="00572D79"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Unplanned outage</w:t>
            </w:r>
            <w:r w:rsidRPr="4E03F48D">
              <w:rPr>
                <w:kern w:val="24"/>
                <w:sz w:val="20"/>
                <w:szCs w:val="20"/>
                <w:lang w:eastAsia="en-GB"/>
              </w:rPr>
              <w:t xml:space="preserve"> – proportion of unplanned outage of the total company production capacity (%)</w:t>
            </w:r>
          </w:p>
        </w:tc>
        <w:tc>
          <w:tcPr>
            <w:tcW w:w="1211" w:type="dxa"/>
            <w:vAlign w:val="center"/>
          </w:tcPr>
          <w:p w14:paraId="72C91FF5" w14:textId="06E90303"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PR19SES_C.3</w:t>
            </w:r>
          </w:p>
        </w:tc>
        <w:tc>
          <w:tcPr>
            <w:tcW w:w="1938" w:type="dxa"/>
            <w:shd w:val="clear" w:color="auto" w:fill="auto"/>
            <w:tcMar>
              <w:top w:w="15" w:type="dxa"/>
              <w:left w:w="54" w:type="dxa"/>
              <w:bottom w:w="0" w:type="dxa"/>
              <w:right w:w="54" w:type="dxa"/>
            </w:tcMar>
            <w:vAlign w:val="center"/>
          </w:tcPr>
          <w:p w14:paraId="1FFF71F9" w14:textId="34253C4B"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2.3</w:t>
            </w:r>
          </w:p>
        </w:tc>
        <w:tc>
          <w:tcPr>
            <w:tcW w:w="2069" w:type="dxa"/>
            <w:shd w:val="clear" w:color="auto" w:fill="auto"/>
            <w:tcMar>
              <w:top w:w="15" w:type="dxa"/>
              <w:left w:w="54" w:type="dxa"/>
              <w:bottom w:w="0" w:type="dxa"/>
              <w:right w:w="54" w:type="dxa"/>
            </w:tcMar>
            <w:vAlign w:val="center"/>
          </w:tcPr>
          <w:p w14:paraId="25C414AE" w14:textId="1386D78D"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2.3</w:t>
            </w:r>
          </w:p>
        </w:tc>
        <w:tc>
          <w:tcPr>
            <w:tcW w:w="1481" w:type="dxa"/>
            <w:shd w:val="clear" w:color="auto" w:fill="auto"/>
            <w:vAlign w:val="center"/>
          </w:tcPr>
          <w:p w14:paraId="6E5A2C07" w14:textId="3707E895"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NFI</w:t>
            </w:r>
          </w:p>
        </w:tc>
        <w:tc>
          <w:tcPr>
            <w:tcW w:w="1575" w:type="dxa"/>
            <w:shd w:val="clear" w:color="auto" w:fill="auto"/>
            <w:vAlign w:val="center"/>
          </w:tcPr>
          <w:p w14:paraId="1457FA10" w14:textId="457263FC"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NA</w:t>
            </w:r>
          </w:p>
        </w:tc>
        <w:tc>
          <w:tcPr>
            <w:tcW w:w="1564" w:type="dxa"/>
            <w:vMerge/>
            <w:shd w:val="clear" w:color="auto" w:fill="E7E2DE" w:themeFill="accent2" w:themeFillTint="33"/>
          </w:tcPr>
          <w:p w14:paraId="215145F4" w14:textId="77777777" w:rsidR="00572D79" w:rsidRDefault="00572D79" w:rsidP="00900708">
            <w:pPr>
              <w:spacing w:before="40" w:after="40" w:line="240" w:lineRule="auto"/>
              <w:jc w:val="center"/>
              <w:rPr>
                <w:rFonts w:eastAsia="Times New Roman" w:cs="Arial"/>
                <w:sz w:val="20"/>
                <w:szCs w:val="20"/>
                <w:lang w:eastAsia="en-GB"/>
              </w:rPr>
            </w:pPr>
          </w:p>
        </w:tc>
      </w:tr>
      <w:tr w:rsidR="00572D79" w:rsidRPr="002F7280" w14:paraId="47213CBA" w14:textId="79D3BBAD" w:rsidTr="00572D79">
        <w:trPr>
          <w:trHeight w:val="162"/>
        </w:trPr>
        <w:tc>
          <w:tcPr>
            <w:tcW w:w="425" w:type="dxa"/>
            <w:shd w:val="clear" w:color="auto" w:fill="auto"/>
            <w:tcMar>
              <w:top w:w="15" w:type="dxa"/>
              <w:left w:w="54" w:type="dxa"/>
              <w:bottom w:w="0" w:type="dxa"/>
              <w:right w:w="54" w:type="dxa"/>
            </w:tcMar>
            <w:hideMark/>
          </w:tcPr>
          <w:p w14:paraId="77F65B72" w14:textId="70C24252"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5</w:t>
            </w:r>
          </w:p>
        </w:tc>
        <w:tc>
          <w:tcPr>
            <w:tcW w:w="3827" w:type="dxa"/>
            <w:shd w:val="clear" w:color="auto" w:fill="auto"/>
            <w:tcMar>
              <w:top w:w="15" w:type="dxa"/>
              <w:left w:w="54" w:type="dxa"/>
              <w:bottom w:w="0" w:type="dxa"/>
              <w:right w:w="54" w:type="dxa"/>
            </w:tcMar>
            <w:hideMark/>
          </w:tcPr>
          <w:p w14:paraId="62AA14B2" w14:textId="6E44D498" w:rsidR="00572D79" w:rsidRPr="002F7280" w:rsidRDefault="00572D79" w:rsidP="00717E4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Leakage</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megalitres per day (</w:t>
            </w:r>
            <w:proofErr w:type="spellStart"/>
            <w:r w:rsidRPr="4E03F48D">
              <w:rPr>
                <w:kern w:val="24"/>
                <w:sz w:val="20"/>
                <w:szCs w:val="20"/>
                <w:lang w:eastAsia="en-GB"/>
              </w:rPr>
              <w:t>Ml</w:t>
            </w:r>
            <w:proofErr w:type="spellEnd"/>
            <w:r w:rsidRPr="4E03F48D">
              <w:rPr>
                <w:kern w:val="24"/>
                <w:sz w:val="20"/>
                <w:szCs w:val="20"/>
                <w:lang w:eastAsia="en-GB"/>
              </w:rPr>
              <w:t>/d), three-year average</w:t>
            </w:r>
          </w:p>
        </w:tc>
        <w:tc>
          <w:tcPr>
            <w:tcW w:w="1211" w:type="dxa"/>
            <w:vAlign w:val="center"/>
          </w:tcPr>
          <w:p w14:paraId="3C75AAD0" w14:textId="50729BCE"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PR19SES_C.4</w:t>
            </w:r>
          </w:p>
        </w:tc>
        <w:tc>
          <w:tcPr>
            <w:tcW w:w="1938" w:type="dxa"/>
            <w:shd w:val="clear" w:color="auto" w:fill="auto"/>
            <w:tcMar>
              <w:top w:w="15" w:type="dxa"/>
              <w:left w:w="54" w:type="dxa"/>
              <w:bottom w:w="0" w:type="dxa"/>
              <w:right w:w="54" w:type="dxa"/>
            </w:tcMar>
            <w:vAlign w:val="center"/>
          </w:tcPr>
          <w:p w14:paraId="31E8DC1D" w14:textId="57CFFED5"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24.09</w:t>
            </w:r>
          </w:p>
        </w:tc>
        <w:tc>
          <w:tcPr>
            <w:tcW w:w="2069" w:type="dxa"/>
            <w:shd w:val="clear" w:color="auto" w:fill="auto"/>
            <w:tcMar>
              <w:top w:w="15" w:type="dxa"/>
              <w:left w:w="54" w:type="dxa"/>
              <w:bottom w:w="0" w:type="dxa"/>
              <w:right w:w="54" w:type="dxa"/>
            </w:tcMar>
            <w:vAlign w:val="center"/>
          </w:tcPr>
          <w:p w14:paraId="4D510A25" w14:textId="617018C7"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21.1</w:t>
            </w:r>
          </w:p>
        </w:tc>
        <w:tc>
          <w:tcPr>
            <w:tcW w:w="1481" w:type="dxa"/>
            <w:shd w:val="clear" w:color="auto" w:fill="auto"/>
            <w:vAlign w:val="center"/>
          </w:tcPr>
          <w:p w14:paraId="38FEFD77" w14:textId="24737D9C"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Out &amp; under</w:t>
            </w:r>
          </w:p>
        </w:tc>
        <w:tc>
          <w:tcPr>
            <w:tcW w:w="1575" w:type="dxa"/>
            <w:shd w:val="clear" w:color="auto" w:fill="auto"/>
            <w:vAlign w:val="center"/>
          </w:tcPr>
          <w:p w14:paraId="294E97C6" w14:textId="7DA6920D"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In-period</w:t>
            </w:r>
          </w:p>
        </w:tc>
        <w:tc>
          <w:tcPr>
            <w:tcW w:w="1564" w:type="dxa"/>
            <w:vAlign w:val="center"/>
          </w:tcPr>
          <w:p w14:paraId="4AD3E172" w14:textId="411F23F0" w:rsidR="00572D79"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-12%</w:t>
            </w:r>
          </w:p>
        </w:tc>
      </w:tr>
      <w:tr w:rsidR="00572D79" w:rsidRPr="002F7280" w14:paraId="6396008D" w14:textId="26AEA859" w:rsidTr="00572D79">
        <w:trPr>
          <w:trHeight w:val="825"/>
        </w:trPr>
        <w:tc>
          <w:tcPr>
            <w:tcW w:w="425" w:type="dxa"/>
            <w:shd w:val="clear" w:color="auto" w:fill="auto"/>
            <w:tcMar>
              <w:top w:w="15" w:type="dxa"/>
              <w:left w:w="54" w:type="dxa"/>
              <w:bottom w:w="0" w:type="dxa"/>
              <w:right w:w="54" w:type="dxa"/>
            </w:tcMar>
            <w:hideMark/>
          </w:tcPr>
          <w:p w14:paraId="61239571" w14:textId="65613A0E"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6</w:t>
            </w:r>
          </w:p>
        </w:tc>
        <w:tc>
          <w:tcPr>
            <w:tcW w:w="3827" w:type="dxa"/>
            <w:shd w:val="clear" w:color="auto" w:fill="auto"/>
            <w:tcMar>
              <w:top w:w="15" w:type="dxa"/>
              <w:left w:w="54" w:type="dxa"/>
              <w:bottom w:w="0" w:type="dxa"/>
              <w:right w:w="54" w:type="dxa"/>
            </w:tcMar>
            <w:hideMark/>
          </w:tcPr>
          <w:p w14:paraId="2D290324" w14:textId="6A7AAFBC" w:rsidR="00572D79" w:rsidRPr="002F7280" w:rsidRDefault="00572D79"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Per capita consumption</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average amount of water used by each person that lives in a household property (litres per person per day)</w:t>
            </w:r>
            <w:r>
              <w:rPr>
                <w:kern w:val="24"/>
                <w:sz w:val="20"/>
                <w:szCs w:val="20"/>
                <w:lang w:eastAsia="en-GB"/>
              </w:rPr>
              <w:t xml:space="preserve">, three-year average </w:t>
            </w:r>
          </w:p>
        </w:tc>
        <w:tc>
          <w:tcPr>
            <w:tcW w:w="1211" w:type="dxa"/>
            <w:vAlign w:val="center"/>
          </w:tcPr>
          <w:p w14:paraId="1F632B37" w14:textId="7A3DE864"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PR19SES_E.1</w:t>
            </w:r>
          </w:p>
        </w:tc>
        <w:tc>
          <w:tcPr>
            <w:tcW w:w="1938" w:type="dxa"/>
            <w:shd w:val="clear" w:color="auto" w:fill="auto"/>
            <w:tcMar>
              <w:top w:w="15" w:type="dxa"/>
              <w:left w:w="54" w:type="dxa"/>
              <w:bottom w:w="0" w:type="dxa"/>
              <w:right w:w="54" w:type="dxa"/>
            </w:tcMar>
            <w:vAlign w:val="center"/>
          </w:tcPr>
          <w:p w14:paraId="196A55EB" w14:textId="34094548"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145.83</w:t>
            </w:r>
          </w:p>
        </w:tc>
        <w:tc>
          <w:tcPr>
            <w:tcW w:w="2069" w:type="dxa"/>
            <w:shd w:val="clear" w:color="auto" w:fill="auto"/>
            <w:tcMar>
              <w:top w:w="15" w:type="dxa"/>
              <w:left w:w="54" w:type="dxa"/>
              <w:bottom w:w="0" w:type="dxa"/>
              <w:right w:w="54" w:type="dxa"/>
            </w:tcMar>
            <w:vAlign w:val="center"/>
          </w:tcPr>
          <w:p w14:paraId="1F6EEA0C" w14:textId="62B3A5DC"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136.2</w:t>
            </w:r>
          </w:p>
        </w:tc>
        <w:tc>
          <w:tcPr>
            <w:tcW w:w="1481" w:type="dxa"/>
            <w:shd w:val="clear" w:color="auto" w:fill="auto"/>
            <w:vAlign w:val="center"/>
          </w:tcPr>
          <w:p w14:paraId="7D158162" w14:textId="20EEC66F"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Out &amp; under</w:t>
            </w:r>
          </w:p>
        </w:tc>
        <w:tc>
          <w:tcPr>
            <w:tcW w:w="1575" w:type="dxa"/>
            <w:shd w:val="clear" w:color="auto" w:fill="auto"/>
            <w:vAlign w:val="center"/>
          </w:tcPr>
          <w:p w14:paraId="3D118131" w14:textId="033F5E2E"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In-period</w:t>
            </w:r>
          </w:p>
        </w:tc>
        <w:tc>
          <w:tcPr>
            <w:tcW w:w="1564" w:type="dxa"/>
            <w:vAlign w:val="center"/>
          </w:tcPr>
          <w:p w14:paraId="157D1329" w14:textId="62B290F1" w:rsidR="00572D79"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-7%</w:t>
            </w:r>
          </w:p>
        </w:tc>
      </w:tr>
      <w:tr w:rsidR="00572D79" w:rsidRPr="002F7280" w14:paraId="074B6CED" w14:textId="1482F05F" w:rsidTr="00572D79">
        <w:trPr>
          <w:trHeight w:val="884"/>
        </w:trPr>
        <w:tc>
          <w:tcPr>
            <w:tcW w:w="425" w:type="dxa"/>
            <w:shd w:val="clear" w:color="auto" w:fill="auto"/>
            <w:tcMar>
              <w:top w:w="15" w:type="dxa"/>
              <w:left w:w="54" w:type="dxa"/>
              <w:bottom w:w="0" w:type="dxa"/>
              <w:right w:w="54" w:type="dxa"/>
            </w:tcMar>
          </w:tcPr>
          <w:p w14:paraId="5CC9F065" w14:textId="4EDDE7D4" w:rsidR="00572D79" w:rsidRPr="002F7280" w:rsidRDefault="00572D79"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7</w:t>
            </w:r>
          </w:p>
        </w:tc>
        <w:tc>
          <w:tcPr>
            <w:tcW w:w="3827" w:type="dxa"/>
            <w:shd w:val="clear" w:color="auto" w:fill="auto"/>
            <w:tcMar>
              <w:top w:w="15" w:type="dxa"/>
              <w:left w:w="54" w:type="dxa"/>
              <w:bottom w:w="0" w:type="dxa"/>
              <w:right w:w="54" w:type="dxa"/>
            </w:tcMar>
          </w:tcPr>
          <w:p w14:paraId="1D237573" w14:textId="7166EC39" w:rsidR="00572D79" w:rsidRDefault="00572D79"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severe restrictions in a drought</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percentage of the population the company serves that would experience severe supply restrictions (e.g. standpipes or rota cuts) in a 1</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in</w:t>
            </w:r>
            <w:r w:rsidRPr="4E03F48D">
              <w:rPr>
                <w:rFonts w:ascii="Arial,Times New Roman" w:eastAsia="Arial,Times New Roman" w:hAnsi="Arial,Times New Roman" w:cs="Arial,Times New Roman"/>
                <w:kern w:val="24"/>
                <w:sz w:val="20"/>
                <w:szCs w:val="20"/>
                <w:lang w:eastAsia="en-GB"/>
              </w:rPr>
              <w:t>-</w:t>
            </w:r>
            <w:r w:rsidRPr="4E03F48D">
              <w:rPr>
                <w:kern w:val="24"/>
                <w:sz w:val="20"/>
                <w:szCs w:val="20"/>
                <w:lang w:eastAsia="en-GB"/>
              </w:rPr>
              <w:t>200 year drought</w:t>
            </w:r>
          </w:p>
        </w:tc>
        <w:tc>
          <w:tcPr>
            <w:tcW w:w="1211" w:type="dxa"/>
            <w:vAlign w:val="center"/>
          </w:tcPr>
          <w:p w14:paraId="4392B048" w14:textId="310CB39F"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PR19SES_C.1</w:t>
            </w:r>
          </w:p>
        </w:tc>
        <w:tc>
          <w:tcPr>
            <w:tcW w:w="1938" w:type="dxa"/>
            <w:shd w:val="clear" w:color="auto" w:fill="auto"/>
            <w:tcMar>
              <w:top w:w="15" w:type="dxa"/>
              <w:left w:w="54" w:type="dxa"/>
              <w:bottom w:w="0" w:type="dxa"/>
              <w:right w:w="54" w:type="dxa"/>
            </w:tcMar>
            <w:vAlign w:val="center"/>
          </w:tcPr>
          <w:p w14:paraId="745D780B" w14:textId="4F53BB59"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0</w:t>
            </w:r>
          </w:p>
        </w:tc>
        <w:tc>
          <w:tcPr>
            <w:tcW w:w="2069" w:type="dxa"/>
            <w:shd w:val="clear" w:color="auto" w:fill="auto"/>
            <w:tcMar>
              <w:top w:w="15" w:type="dxa"/>
              <w:left w:w="54" w:type="dxa"/>
              <w:bottom w:w="0" w:type="dxa"/>
              <w:right w:w="54" w:type="dxa"/>
            </w:tcMar>
            <w:vAlign w:val="center"/>
          </w:tcPr>
          <w:p w14:paraId="40D331D6" w14:textId="5A4714FB"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0</w:t>
            </w:r>
          </w:p>
        </w:tc>
        <w:tc>
          <w:tcPr>
            <w:tcW w:w="1481" w:type="dxa"/>
            <w:shd w:val="clear" w:color="auto" w:fill="auto"/>
            <w:vAlign w:val="center"/>
          </w:tcPr>
          <w:p w14:paraId="012BB1B1" w14:textId="73FCBE3E"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NFI</w:t>
            </w:r>
          </w:p>
        </w:tc>
        <w:tc>
          <w:tcPr>
            <w:tcW w:w="1575" w:type="dxa"/>
            <w:shd w:val="clear" w:color="auto" w:fill="auto"/>
            <w:vAlign w:val="center"/>
          </w:tcPr>
          <w:p w14:paraId="044C89B4" w14:textId="421B414A" w:rsidR="00572D79" w:rsidRPr="002F7280" w:rsidRDefault="00572D79" w:rsidP="00900708">
            <w:pPr>
              <w:spacing w:before="40" w:after="40" w:line="240" w:lineRule="auto"/>
              <w:jc w:val="center"/>
              <w:rPr>
                <w:rFonts w:eastAsia="Times New Roman" w:cs="Arial"/>
                <w:sz w:val="20"/>
                <w:szCs w:val="20"/>
                <w:lang w:eastAsia="en-GB"/>
              </w:rPr>
            </w:pPr>
            <w:r>
              <w:rPr>
                <w:rFonts w:cs="Arial"/>
                <w:color w:val="000000"/>
                <w:sz w:val="18"/>
                <w:szCs w:val="18"/>
              </w:rPr>
              <w:t>NA</w:t>
            </w:r>
          </w:p>
        </w:tc>
        <w:tc>
          <w:tcPr>
            <w:tcW w:w="1564" w:type="dxa"/>
            <w:vMerge w:val="restart"/>
            <w:shd w:val="clear" w:color="auto" w:fill="E7E2DE" w:themeFill="accent2" w:themeFillTint="33"/>
          </w:tcPr>
          <w:p w14:paraId="7E4C2634" w14:textId="77777777" w:rsidR="00572D79" w:rsidRDefault="00572D79" w:rsidP="00900708">
            <w:pPr>
              <w:spacing w:before="40" w:after="40" w:line="240" w:lineRule="auto"/>
              <w:jc w:val="center"/>
              <w:rPr>
                <w:rFonts w:eastAsia="Times New Roman" w:cs="Arial"/>
                <w:sz w:val="20"/>
                <w:szCs w:val="20"/>
                <w:lang w:eastAsia="en-GB"/>
              </w:rPr>
            </w:pPr>
          </w:p>
        </w:tc>
      </w:tr>
      <w:tr w:rsidR="00E1622F" w:rsidRPr="002F7280" w14:paraId="555627C1" w14:textId="11EF643F" w:rsidTr="00572D79">
        <w:trPr>
          <w:trHeight w:val="1006"/>
        </w:trPr>
        <w:tc>
          <w:tcPr>
            <w:tcW w:w="425" w:type="dxa"/>
            <w:shd w:val="clear" w:color="auto" w:fill="auto"/>
            <w:tcMar>
              <w:top w:w="15" w:type="dxa"/>
              <w:left w:w="54" w:type="dxa"/>
              <w:bottom w:w="0" w:type="dxa"/>
              <w:right w:w="54" w:type="dxa"/>
            </w:tcMar>
          </w:tcPr>
          <w:p w14:paraId="5C3A27A2" w14:textId="34C72F46"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8</w:t>
            </w:r>
          </w:p>
        </w:tc>
        <w:tc>
          <w:tcPr>
            <w:tcW w:w="3827" w:type="dxa"/>
            <w:shd w:val="clear" w:color="auto" w:fill="BFBFBF" w:themeFill="background1" w:themeFillShade="BF"/>
            <w:tcMar>
              <w:top w:w="15" w:type="dxa"/>
              <w:left w:w="54" w:type="dxa"/>
              <w:bottom w:w="0" w:type="dxa"/>
              <w:right w:w="54" w:type="dxa"/>
            </w:tcMar>
          </w:tcPr>
          <w:p w14:paraId="70978044" w14:textId="0D3A3641" w:rsidR="00E1622F" w:rsidRPr="002821C5" w:rsidRDefault="00E1622F" w:rsidP="006A457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Treatment works compliance</w:t>
            </w:r>
            <w:r w:rsidRPr="4E03F48D">
              <w:rPr>
                <w:rFonts w:ascii="Arial,Times New Roman" w:eastAsia="Arial,Times New Roman" w:hAnsi="Arial,Times New Roman" w:cs="Arial,Times New Roman"/>
                <w:kern w:val="24"/>
                <w:sz w:val="20"/>
                <w:szCs w:val="20"/>
                <w:lang w:eastAsia="en-GB"/>
              </w:rPr>
              <w:t xml:space="preserve"> – </w:t>
            </w:r>
            <w:r w:rsidRPr="4E03F48D">
              <w:rPr>
                <w:kern w:val="24"/>
                <w:sz w:val="20"/>
                <w:szCs w:val="20"/>
                <w:lang w:eastAsia="en-GB"/>
              </w:rPr>
              <w:t>% compliance with environmental permits at water and wastewater treatment works (EA’s Environmental Performance Assessment definition)</w:t>
            </w:r>
          </w:p>
        </w:tc>
        <w:tc>
          <w:tcPr>
            <w:tcW w:w="1211" w:type="dxa"/>
            <w:shd w:val="clear" w:color="auto" w:fill="BFBFBF" w:themeFill="background1" w:themeFillShade="BF"/>
          </w:tcPr>
          <w:p w14:paraId="31875FBB"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38" w:type="dxa"/>
            <w:shd w:val="clear" w:color="auto" w:fill="BFBFBF" w:themeFill="background1" w:themeFillShade="BF"/>
            <w:tcMar>
              <w:top w:w="15" w:type="dxa"/>
              <w:left w:w="54" w:type="dxa"/>
              <w:bottom w:w="0" w:type="dxa"/>
              <w:right w:w="54" w:type="dxa"/>
            </w:tcMar>
          </w:tcPr>
          <w:p w14:paraId="7F209F98" w14:textId="2B8BE971" w:rsidR="00E1622F" w:rsidRPr="002F7280" w:rsidRDefault="00E1622F" w:rsidP="00900708">
            <w:pPr>
              <w:spacing w:before="40" w:after="40" w:line="240" w:lineRule="auto"/>
              <w:jc w:val="center"/>
              <w:rPr>
                <w:rFonts w:eastAsia="Times New Roman" w:cs="Arial"/>
                <w:sz w:val="20"/>
                <w:szCs w:val="20"/>
                <w:lang w:eastAsia="en-GB"/>
              </w:rPr>
            </w:pPr>
          </w:p>
        </w:tc>
        <w:tc>
          <w:tcPr>
            <w:tcW w:w="2069" w:type="dxa"/>
            <w:shd w:val="clear" w:color="auto" w:fill="BFBFBF" w:themeFill="background1" w:themeFillShade="BF"/>
            <w:tcMar>
              <w:top w:w="15" w:type="dxa"/>
              <w:left w:w="54" w:type="dxa"/>
              <w:bottom w:w="0" w:type="dxa"/>
              <w:right w:w="54" w:type="dxa"/>
            </w:tcMar>
          </w:tcPr>
          <w:p w14:paraId="219783D4"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481" w:type="dxa"/>
            <w:shd w:val="clear" w:color="auto" w:fill="BFBFBF" w:themeFill="background1" w:themeFillShade="BF"/>
          </w:tcPr>
          <w:p w14:paraId="4CA92E5D"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75" w:type="dxa"/>
            <w:shd w:val="clear" w:color="auto" w:fill="BFBFBF" w:themeFill="background1" w:themeFillShade="BF"/>
          </w:tcPr>
          <w:p w14:paraId="1164712B" w14:textId="7D08A7E7" w:rsidR="00E1622F" w:rsidRPr="002F7280" w:rsidRDefault="00E1622F" w:rsidP="00900708">
            <w:pPr>
              <w:spacing w:before="40" w:after="40" w:line="240" w:lineRule="auto"/>
              <w:jc w:val="center"/>
              <w:rPr>
                <w:rFonts w:eastAsia="Times New Roman" w:cs="Arial"/>
                <w:sz w:val="20"/>
                <w:szCs w:val="20"/>
                <w:lang w:eastAsia="en-GB"/>
              </w:rPr>
            </w:pPr>
          </w:p>
        </w:tc>
        <w:tc>
          <w:tcPr>
            <w:tcW w:w="1564" w:type="dxa"/>
            <w:vMerge/>
            <w:shd w:val="clear" w:color="auto" w:fill="E7E2DE" w:themeFill="accent2" w:themeFillTint="33"/>
          </w:tcPr>
          <w:p w14:paraId="27E574C5"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171C6B5B" w14:textId="560933AF" w:rsidTr="00572D79">
        <w:trPr>
          <w:trHeight w:val="509"/>
        </w:trPr>
        <w:tc>
          <w:tcPr>
            <w:tcW w:w="425" w:type="dxa"/>
            <w:shd w:val="clear" w:color="auto" w:fill="auto"/>
            <w:tcMar>
              <w:top w:w="15" w:type="dxa"/>
              <w:left w:w="54" w:type="dxa"/>
              <w:bottom w:w="0" w:type="dxa"/>
              <w:right w:w="54" w:type="dxa"/>
            </w:tcMar>
            <w:hideMark/>
          </w:tcPr>
          <w:p w14:paraId="0CA01391" w14:textId="744B7C02"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9</w:t>
            </w:r>
          </w:p>
        </w:tc>
        <w:tc>
          <w:tcPr>
            <w:tcW w:w="3827" w:type="dxa"/>
            <w:shd w:val="clear" w:color="auto" w:fill="BFBFBF" w:themeFill="background1" w:themeFillShade="BF"/>
            <w:tcMar>
              <w:top w:w="15" w:type="dxa"/>
              <w:left w:w="54" w:type="dxa"/>
              <w:bottom w:w="0" w:type="dxa"/>
              <w:right w:w="54" w:type="dxa"/>
            </w:tcMar>
            <w:hideMark/>
          </w:tcPr>
          <w:p w14:paraId="58ACBEAF" w14:textId="79203036" w:rsidR="00E1622F" w:rsidRPr="002F7280" w:rsidRDefault="00E1622F" w:rsidP="000D1911">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Internal sewer flooding</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of incidents per year</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(sewerage companies only)</w:t>
            </w:r>
          </w:p>
        </w:tc>
        <w:tc>
          <w:tcPr>
            <w:tcW w:w="1211" w:type="dxa"/>
            <w:shd w:val="clear" w:color="auto" w:fill="BFBFBF" w:themeFill="background1" w:themeFillShade="BF"/>
          </w:tcPr>
          <w:p w14:paraId="36DCC119"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38" w:type="dxa"/>
            <w:shd w:val="clear" w:color="auto" w:fill="BFBFBF" w:themeFill="background1" w:themeFillShade="BF"/>
            <w:tcMar>
              <w:top w:w="15" w:type="dxa"/>
              <w:left w:w="54" w:type="dxa"/>
              <w:bottom w:w="0" w:type="dxa"/>
              <w:right w:w="54" w:type="dxa"/>
            </w:tcMar>
          </w:tcPr>
          <w:p w14:paraId="761C1537" w14:textId="6F414ABA" w:rsidR="00E1622F" w:rsidRPr="002F7280" w:rsidRDefault="00E1622F" w:rsidP="00900708">
            <w:pPr>
              <w:spacing w:before="40" w:after="40" w:line="240" w:lineRule="auto"/>
              <w:jc w:val="center"/>
              <w:rPr>
                <w:rFonts w:eastAsia="Times New Roman" w:cs="Arial"/>
                <w:sz w:val="20"/>
                <w:szCs w:val="20"/>
                <w:lang w:eastAsia="en-GB"/>
              </w:rPr>
            </w:pPr>
          </w:p>
        </w:tc>
        <w:tc>
          <w:tcPr>
            <w:tcW w:w="2069" w:type="dxa"/>
            <w:shd w:val="clear" w:color="auto" w:fill="BFBFBF" w:themeFill="background1" w:themeFillShade="BF"/>
            <w:tcMar>
              <w:top w:w="15" w:type="dxa"/>
              <w:left w:w="54" w:type="dxa"/>
              <w:bottom w:w="0" w:type="dxa"/>
              <w:right w:w="54" w:type="dxa"/>
            </w:tcMar>
          </w:tcPr>
          <w:p w14:paraId="2E66D06C"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481" w:type="dxa"/>
            <w:shd w:val="clear" w:color="auto" w:fill="BFBFBF" w:themeFill="background1" w:themeFillShade="BF"/>
          </w:tcPr>
          <w:p w14:paraId="39569960" w14:textId="6226AD79" w:rsidR="00E1622F" w:rsidRPr="002F7280" w:rsidRDefault="00E1622F" w:rsidP="00900708">
            <w:pPr>
              <w:spacing w:before="40" w:after="40" w:line="240" w:lineRule="auto"/>
              <w:jc w:val="center"/>
              <w:rPr>
                <w:rFonts w:eastAsia="Times New Roman" w:cs="Arial"/>
                <w:sz w:val="20"/>
                <w:szCs w:val="20"/>
                <w:lang w:eastAsia="en-GB"/>
              </w:rPr>
            </w:pPr>
          </w:p>
        </w:tc>
        <w:tc>
          <w:tcPr>
            <w:tcW w:w="1575" w:type="dxa"/>
            <w:shd w:val="clear" w:color="auto" w:fill="BFBFBF" w:themeFill="background1" w:themeFillShade="BF"/>
          </w:tcPr>
          <w:p w14:paraId="4A46BF0E" w14:textId="39FB696F" w:rsidR="00E1622F" w:rsidRPr="002F7280" w:rsidRDefault="00E1622F" w:rsidP="00900708">
            <w:pPr>
              <w:spacing w:before="40" w:after="40" w:line="240" w:lineRule="auto"/>
              <w:jc w:val="center"/>
              <w:rPr>
                <w:rFonts w:eastAsia="Times New Roman" w:cs="Arial"/>
                <w:sz w:val="20"/>
                <w:szCs w:val="20"/>
                <w:lang w:eastAsia="en-GB"/>
              </w:rPr>
            </w:pPr>
          </w:p>
        </w:tc>
        <w:tc>
          <w:tcPr>
            <w:tcW w:w="1564" w:type="dxa"/>
            <w:vMerge/>
            <w:shd w:val="clear" w:color="auto" w:fill="E7E2DE" w:themeFill="accent2" w:themeFillTint="33"/>
          </w:tcPr>
          <w:p w14:paraId="3A109BEA"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7F113685" w14:textId="707753B9" w:rsidTr="00572D79">
        <w:trPr>
          <w:trHeight w:val="566"/>
        </w:trPr>
        <w:tc>
          <w:tcPr>
            <w:tcW w:w="425" w:type="dxa"/>
            <w:shd w:val="clear" w:color="auto" w:fill="auto"/>
            <w:tcMar>
              <w:top w:w="15" w:type="dxa"/>
              <w:left w:w="54" w:type="dxa"/>
              <w:bottom w:w="0" w:type="dxa"/>
              <w:right w:w="54" w:type="dxa"/>
            </w:tcMar>
          </w:tcPr>
          <w:p w14:paraId="48832116" w14:textId="75A1D9B1"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kern w:val="24"/>
                <w:sz w:val="20"/>
                <w:szCs w:val="20"/>
                <w:lang w:eastAsia="en-GB"/>
              </w:rPr>
              <w:t>10</w:t>
            </w:r>
          </w:p>
        </w:tc>
        <w:tc>
          <w:tcPr>
            <w:tcW w:w="3827" w:type="dxa"/>
            <w:shd w:val="clear" w:color="auto" w:fill="BFBFBF" w:themeFill="background1" w:themeFillShade="BF"/>
            <w:tcMar>
              <w:top w:w="15" w:type="dxa"/>
              <w:left w:w="54" w:type="dxa"/>
              <w:bottom w:w="0" w:type="dxa"/>
              <w:right w:w="54" w:type="dxa"/>
            </w:tcMar>
          </w:tcPr>
          <w:p w14:paraId="33D42BCD" w14:textId="4AA6282E" w:rsidR="00E1622F"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Sewer collapses</w:t>
            </w:r>
            <w:r w:rsidRPr="4E03F48D">
              <w:rPr>
                <w:rFonts w:ascii="Arial,Times New Roman" w:eastAsia="Arial,Times New Roman" w:hAnsi="Arial,Times New Roman" w:cs="Arial,Times New Roman"/>
                <w:kern w:val="24"/>
                <w:sz w:val="20"/>
                <w:szCs w:val="20"/>
                <w:lang w:eastAsia="en-GB"/>
              </w:rPr>
              <w:t xml:space="preserve"> –</w:t>
            </w:r>
            <w:r w:rsidRPr="4E03F48D">
              <w:rPr>
                <w:kern w:val="24"/>
                <w:sz w:val="20"/>
                <w:szCs w:val="20"/>
                <w:lang w:eastAsia="en-GB"/>
              </w:rPr>
              <w:t xml:space="preserve"> number per 1,000 kilometres of sewer (sewerage </w:t>
            </w:r>
            <w:r w:rsidRPr="4E03F48D">
              <w:rPr>
                <w:kern w:val="24"/>
                <w:sz w:val="20"/>
                <w:szCs w:val="20"/>
                <w:lang w:eastAsia="en-GB"/>
              </w:rPr>
              <w:lastRenderedPageBreak/>
              <w:t>companies only)</w:t>
            </w:r>
          </w:p>
        </w:tc>
        <w:tc>
          <w:tcPr>
            <w:tcW w:w="1211" w:type="dxa"/>
            <w:shd w:val="clear" w:color="auto" w:fill="BFBFBF" w:themeFill="background1" w:themeFillShade="BF"/>
          </w:tcPr>
          <w:p w14:paraId="33363982"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38" w:type="dxa"/>
            <w:shd w:val="clear" w:color="auto" w:fill="BFBFBF" w:themeFill="background1" w:themeFillShade="BF"/>
            <w:tcMar>
              <w:top w:w="15" w:type="dxa"/>
              <w:left w:w="54" w:type="dxa"/>
              <w:bottom w:w="0" w:type="dxa"/>
              <w:right w:w="54" w:type="dxa"/>
            </w:tcMar>
          </w:tcPr>
          <w:p w14:paraId="6DA12399" w14:textId="1CEFB66D" w:rsidR="00E1622F" w:rsidRPr="002F7280" w:rsidRDefault="00E1622F" w:rsidP="00900708">
            <w:pPr>
              <w:spacing w:before="40" w:after="40" w:line="240" w:lineRule="auto"/>
              <w:jc w:val="center"/>
              <w:rPr>
                <w:rFonts w:eastAsia="Times New Roman" w:cs="Arial"/>
                <w:sz w:val="20"/>
                <w:szCs w:val="20"/>
                <w:lang w:eastAsia="en-GB"/>
              </w:rPr>
            </w:pPr>
          </w:p>
        </w:tc>
        <w:tc>
          <w:tcPr>
            <w:tcW w:w="2069" w:type="dxa"/>
            <w:shd w:val="clear" w:color="auto" w:fill="BFBFBF" w:themeFill="background1" w:themeFillShade="BF"/>
            <w:tcMar>
              <w:top w:w="15" w:type="dxa"/>
              <w:left w:w="54" w:type="dxa"/>
              <w:bottom w:w="0" w:type="dxa"/>
              <w:right w:w="54" w:type="dxa"/>
            </w:tcMar>
          </w:tcPr>
          <w:p w14:paraId="59DF9366"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481" w:type="dxa"/>
            <w:shd w:val="clear" w:color="auto" w:fill="BFBFBF" w:themeFill="background1" w:themeFillShade="BF"/>
          </w:tcPr>
          <w:p w14:paraId="7126A2C4"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575" w:type="dxa"/>
            <w:shd w:val="clear" w:color="auto" w:fill="BFBFBF" w:themeFill="background1" w:themeFillShade="BF"/>
          </w:tcPr>
          <w:p w14:paraId="723F3CED" w14:textId="5E77EE3C" w:rsidR="00E1622F" w:rsidRPr="002F7280" w:rsidRDefault="00E1622F" w:rsidP="00900708">
            <w:pPr>
              <w:spacing w:before="40" w:after="40" w:line="240" w:lineRule="auto"/>
              <w:jc w:val="center"/>
              <w:rPr>
                <w:rFonts w:eastAsia="Times New Roman" w:cs="Arial"/>
                <w:sz w:val="20"/>
                <w:szCs w:val="20"/>
                <w:lang w:eastAsia="en-GB"/>
              </w:rPr>
            </w:pPr>
          </w:p>
        </w:tc>
        <w:tc>
          <w:tcPr>
            <w:tcW w:w="1564" w:type="dxa"/>
            <w:vMerge/>
            <w:shd w:val="clear" w:color="auto" w:fill="E7E2DE" w:themeFill="accent2" w:themeFillTint="33"/>
          </w:tcPr>
          <w:p w14:paraId="2CD3D89E"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298A80CE" w14:textId="37737A74" w:rsidTr="00572D79">
        <w:trPr>
          <w:trHeight w:val="773"/>
        </w:trPr>
        <w:tc>
          <w:tcPr>
            <w:tcW w:w="425" w:type="dxa"/>
            <w:shd w:val="clear" w:color="auto" w:fill="auto"/>
            <w:tcMar>
              <w:top w:w="15" w:type="dxa"/>
              <w:left w:w="54" w:type="dxa"/>
              <w:bottom w:w="0" w:type="dxa"/>
              <w:right w:w="54" w:type="dxa"/>
            </w:tcMar>
            <w:hideMark/>
          </w:tcPr>
          <w:p w14:paraId="384F51C8" w14:textId="14666FAF"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11</w:t>
            </w:r>
          </w:p>
        </w:tc>
        <w:tc>
          <w:tcPr>
            <w:tcW w:w="3827" w:type="dxa"/>
            <w:shd w:val="clear" w:color="auto" w:fill="BFBFBF" w:themeFill="background1" w:themeFillShade="BF"/>
            <w:tcMar>
              <w:top w:w="15" w:type="dxa"/>
              <w:left w:w="54" w:type="dxa"/>
              <w:bottom w:w="0" w:type="dxa"/>
              <w:right w:w="54" w:type="dxa"/>
            </w:tcMar>
            <w:hideMark/>
          </w:tcPr>
          <w:p w14:paraId="0A74AB39" w14:textId="007A62D3" w:rsidR="00E1622F" w:rsidRPr="002F7280"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Pollution incidents</w:t>
            </w:r>
            <w:r w:rsidRPr="4E03F48D">
              <w:rPr>
                <w:kern w:val="24"/>
                <w:sz w:val="20"/>
                <w:szCs w:val="20"/>
                <w:lang w:eastAsia="en-GB"/>
              </w:rPr>
              <w:t xml:space="preserve"> – category 1-3 pollution incidents per 1,000km of sewerage network, as reported to the Environment Agency and Natural Resources Wales (sewerage companies only)</w:t>
            </w:r>
          </w:p>
        </w:tc>
        <w:tc>
          <w:tcPr>
            <w:tcW w:w="1211" w:type="dxa"/>
            <w:shd w:val="clear" w:color="auto" w:fill="BFBFBF" w:themeFill="background1" w:themeFillShade="BF"/>
          </w:tcPr>
          <w:p w14:paraId="4BB1CEFB"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938" w:type="dxa"/>
            <w:shd w:val="clear" w:color="auto" w:fill="BFBFBF" w:themeFill="background1" w:themeFillShade="BF"/>
            <w:tcMar>
              <w:top w:w="15" w:type="dxa"/>
              <w:left w:w="54" w:type="dxa"/>
              <w:bottom w:w="0" w:type="dxa"/>
              <w:right w:w="54" w:type="dxa"/>
            </w:tcMar>
          </w:tcPr>
          <w:p w14:paraId="38D96BB8" w14:textId="68C0E8D9" w:rsidR="00E1622F" w:rsidRPr="002F7280" w:rsidRDefault="00E1622F" w:rsidP="00900708">
            <w:pPr>
              <w:spacing w:before="40" w:after="40" w:line="240" w:lineRule="auto"/>
              <w:jc w:val="center"/>
              <w:rPr>
                <w:rFonts w:eastAsia="Times New Roman" w:cs="Arial"/>
                <w:sz w:val="20"/>
                <w:szCs w:val="20"/>
                <w:lang w:eastAsia="en-GB"/>
              </w:rPr>
            </w:pPr>
          </w:p>
        </w:tc>
        <w:tc>
          <w:tcPr>
            <w:tcW w:w="2069" w:type="dxa"/>
            <w:shd w:val="clear" w:color="auto" w:fill="BFBFBF" w:themeFill="background1" w:themeFillShade="BF"/>
            <w:tcMar>
              <w:top w:w="15" w:type="dxa"/>
              <w:left w:w="54" w:type="dxa"/>
              <w:bottom w:w="0" w:type="dxa"/>
              <w:right w:w="54" w:type="dxa"/>
            </w:tcMar>
          </w:tcPr>
          <w:p w14:paraId="08064CA9" w14:textId="77777777" w:rsidR="00E1622F" w:rsidRPr="002F7280" w:rsidRDefault="00E1622F" w:rsidP="00900708">
            <w:pPr>
              <w:spacing w:before="40" w:after="40" w:line="240" w:lineRule="auto"/>
              <w:jc w:val="center"/>
              <w:rPr>
                <w:rFonts w:eastAsia="Times New Roman" w:cs="Arial"/>
                <w:sz w:val="20"/>
                <w:szCs w:val="20"/>
                <w:lang w:eastAsia="en-GB"/>
              </w:rPr>
            </w:pPr>
          </w:p>
        </w:tc>
        <w:tc>
          <w:tcPr>
            <w:tcW w:w="1481" w:type="dxa"/>
            <w:shd w:val="clear" w:color="auto" w:fill="BFBFBF" w:themeFill="background1" w:themeFillShade="BF"/>
          </w:tcPr>
          <w:p w14:paraId="74B7A890" w14:textId="60636D0A" w:rsidR="00E1622F" w:rsidRPr="002F7280" w:rsidRDefault="00E1622F" w:rsidP="00900708">
            <w:pPr>
              <w:spacing w:before="40" w:after="40" w:line="240" w:lineRule="auto"/>
              <w:jc w:val="center"/>
              <w:rPr>
                <w:rFonts w:eastAsia="Times New Roman" w:cs="Arial"/>
                <w:sz w:val="20"/>
                <w:szCs w:val="20"/>
                <w:lang w:eastAsia="en-GB"/>
              </w:rPr>
            </w:pPr>
          </w:p>
        </w:tc>
        <w:tc>
          <w:tcPr>
            <w:tcW w:w="1575" w:type="dxa"/>
            <w:shd w:val="clear" w:color="auto" w:fill="BFBFBF" w:themeFill="background1" w:themeFillShade="BF"/>
          </w:tcPr>
          <w:p w14:paraId="44CA8CDB" w14:textId="107E75C0" w:rsidR="00E1622F" w:rsidRPr="002F7280" w:rsidRDefault="00E1622F" w:rsidP="00900708">
            <w:pPr>
              <w:spacing w:before="40" w:after="40" w:line="240" w:lineRule="auto"/>
              <w:jc w:val="center"/>
              <w:rPr>
                <w:rFonts w:eastAsia="Times New Roman" w:cs="Arial"/>
                <w:sz w:val="20"/>
                <w:szCs w:val="20"/>
                <w:lang w:eastAsia="en-GB"/>
              </w:rPr>
            </w:pPr>
          </w:p>
        </w:tc>
        <w:tc>
          <w:tcPr>
            <w:tcW w:w="1564" w:type="dxa"/>
            <w:vMerge/>
            <w:shd w:val="clear" w:color="auto" w:fill="E7E2DE" w:themeFill="accent2" w:themeFillTint="33"/>
          </w:tcPr>
          <w:p w14:paraId="642D953F" w14:textId="77777777" w:rsidR="00E1622F" w:rsidRDefault="00E1622F" w:rsidP="00900708">
            <w:pPr>
              <w:spacing w:before="40" w:after="40" w:line="240" w:lineRule="auto"/>
              <w:jc w:val="center"/>
              <w:rPr>
                <w:rFonts w:eastAsia="Times New Roman" w:cs="Arial"/>
                <w:sz w:val="20"/>
                <w:szCs w:val="20"/>
                <w:lang w:eastAsia="en-GB"/>
              </w:rPr>
            </w:pPr>
          </w:p>
        </w:tc>
      </w:tr>
      <w:tr w:rsidR="00E1622F" w:rsidRPr="002F7280" w14:paraId="0C5EF868" w14:textId="6BC87D2B" w:rsidTr="00572D79">
        <w:trPr>
          <w:trHeight w:val="855"/>
        </w:trPr>
        <w:tc>
          <w:tcPr>
            <w:tcW w:w="425" w:type="dxa"/>
            <w:shd w:val="clear" w:color="auto" w:fill="auto"/>
            <w:tcMar>
              <w:top w:w="15" w:type="dxa"/>
              <w:left w:w="54" w:type="dxa"/>
              <w:bottom w:w="0" w:type="dxa"/>
              <w:right w:w="54" w:type="dxa"/>
            </w:tcMar>
            <w:hideMark/>
          </w:tcPr>
          <w:p w14:paraId="58BCF719" w14:textId="346DA825" w:rsidR="00E1622F" w:rsidRPr="002F7280" w:rsidRDefault="00E1622F" w:rsidP="00900708">
            <w:pPr>
              <w:spacing w:before="40" w:after="40" w:line="240" w:lineRule="auto"/>
              <w:rPr>
                <w:rFonts w:ascii="Arial,Times New Roman" w:eastAsia="Arial,Times New Roman" w:hAnsi="Arial,Times New Roman" w:cs="Arial,Times New Roman"/>
                <w:sz w:val="20"/>
                <w:szCs w:val="20"/>
                <w:lang w:eastAsia="en-GB"/>
              </w:rPr>
            </w:pPr>
            <w:r w:rsidRPr="4E03F48D">
              <w:rPr>
                <w:sz w:val="20"/>
                <w:szCs w:val="20"/>
                <w:lang w:eastAsia="en-GB"/>
              </w:rPr>
              <w:t>12</w:t>
            </w:r>
          </w:p>
        </w:tc>
        <w:tc>
          <w:tcPr>
            <w:tcW w:w="3827" w:type="dxa"/>
            <w:shd w:val="clear" w:color="auto" w:fill="BFBFBF" w:themeFill="background1" w:themeFillShade="BF"/>
            <w:tcMar>
              <w:top w:w="15" w:type="dxa"/>
              <w:left w:w="54" w:type="dxa"/>
              <w:bottom w:w="0" w:type="dxa"/>
              <w:right w:w="54" w:type="dxa"/>
            </w:tcMar>
            <w:hideMark/>
          </w:tcPr>
          <w:p w14:paraId="64607004" w14:textId="696063C0" w:rsidR="00E1622F" w:rsidRPr="002F7280" w:rsidRDefault="00E1622F" w:rsidP="005509BC">
            <w:pPr>
              <w:spacing w:before="40" w:after="40" w:line="240" w:lineRule="auto"/>
              <w:rPr>
                <w:rFonts w:ascii="Arial,Times New Roman" w:eastAsia="Arial,Times New Roman" w:hAnsi="Arial,Times New Roman" w:cs="Arial,Times New Roman"/>
                <w:sz w:val="20"/>
                <w:szCs w:val="20"/>
                <w:lang w:eastAsia="en-GB"/>
              </w:rPr>
            </w:pPr>
            <w:r w:rsidRPr="4E03F48D">
              <w:rPr>
                <w:b/>
                <w:kern w:val="24"/>
                <w:sz w:val="20"/>
                <w:szCs w:val="20"/>
                <w:lang w:eastAsia="en-GB"/>
              </w:rPr>
              <w:t>Risk of sewer flooding in a storm</w:t>
            </w:r>
            <w:r w:rsidRPr="4E03F48D">
              <w:rPr>
                <w:kern w:val="24"/>
                <w:sz w:val="20"/>
                <w:szCs w:val="20"/>
                <w:lang w:eastAsia="en-GB"/>
              </w:rPr>
              <w:t xml:space="preserve"> – percentage of population at risk of sewer flooding in a 1-in-50 year storm (sewerage companies only)</w:t>
            </w:r>
          </w:p>
        </w:tc>
        <w:tc>
          <w:tcPr>
            <w:tcW w:w="1211" w:type="dxa"/>
            <w:shd w:val="clear" w:color="auto" w:fill="BFBFBF" w:themeFill="background1" w:themeFillShade="BF"/>
          </w:tcPr>
          <w:p w14:paraId="1FF41183" w14:textId="77777777" w:rsidR="00E1622F" w:rsidRPr="002F7280" w:rsidRDefault="00E1622F" w:rsidP="00900708">
            <w:pPr>
              <w:spacing w:before="40" w:after="40" w:line="240" w:lineRule="auto"/>
              <w:rPr>
                <w:rFonts w:eastAsia="Times New Roman" w:cs="Arial"/>
                <w:sz w:val="20"/>
                <w:szCs w:val="20"/>
                <w:lang w:eastAsia="en-GB"/>
              </w:rPr>
            </w:pPr>
          </w:p>
        </w:tc>
        <w:tc>
          <w:tcPr>
            <w:tcW w:w="1938" w:type="dxa"/>
            <w:shd w:val="clear" w:color="auto" w:fill="BFBFBF" w:themeFill="background1" w:themeFillShade="BF"/>
            <w:tcMar>
              <w:top w:w="15" w:type="dxa"/>
              <w:left w:w="54" w:type="dxa"/>
              <w:bottom w:w="0" w:type="dxa"/>
              <w:right w:w="54" w:type="dxa"/>
            </w:tcMar>
          </w:tcPr>
          <w:p w14:paraId="62B645E8" w14:textId="79006A1F" w:rsidR="00E1622F" w:rsidRPr="002F7280" w:rsidRDefault="00E1622F" w:rsidP="00900708">
            <w:pPr>
              <w:spacing w:before="40" w:after="40" w:line="240" w:lineRule="auto"/>
              <w:rPr>
                <w:rFonts w:eastAsia="Times New Roman" w:cs="Arial"/>
                <w:sz w:val="20"/>
                <w:szCs w:val="20"/>
                <w:lang w:eastAsia="en-GB"/>
              </w:rPr>
            </w:pPr>
          </w:p>
        </w:tc>
        <w:tc>
          <w:tcPr>
            <w:tcW w:w="2069" w:type="dxa"/>
            <w:shd w:val="clear" w:color="auto" w:fill="BFBFBF" w:themeFill="background1" w:themeFillShade="BF"/>
            <w:tcMar>
              <w:top w:w="15" w:type="dxa"/>
              <w:left w:w="54" w:type="dxa"/>
              <w:bottom w:w="0" w:type="dxa"/>
              <w:right w:w="54" w:type="dxa"/>
            </w:tcMar>
          </w:tcPr>
          <w:p w14:paraId="05A4CA2C" w14:textId="77777777" w:rsidR="00E1622F" w:rsidRPr="002F7280" w:rsidRDefault="00E1622F" w:rsidP="00900708">
            <w:pPr>
              <w:spacing w:before="40" w:after="40" w:line="240" w:lineRule="auto"/>
              <w:rPr>
                <w:rFonts w:eastAsia="Times New Roman" w:cs="Arial"/>
                <w:sz w:val="20"/>
                <w:szCs w:val="20"/>
                <w:lang w:eastAsia="en-GB"/>
              </w:rPr>
            </w:pPr>
          </w:p>
        </w:tc>
        <w:tc>
          <w:tcPr>
            <w:tcW w:w="1481" w:type="dxa"/>
            <w:shd w:val="clear" w:color="auto" w:fill="BFBFBF" w:themeFill="background1" w:themeFillShade="BF"/>
          </w:tcPr>
          <w:p w14:paraId="1DECBB40" w14:textId="36766DA0" w:rsidR="00E1622F" w:rsidRPr="002F7280" w:rsidRDefault="00E1622F" w:rsidP="00900708">
            <w:pPr>
              <w:spacing w:before="40" w:after="40" w:line="240" w:lineRule="auto"/>
              <w:rPr>
                <w:rFonts w:eastAsia="Times New Roman" w:cs="Arial"/>
                <w:sz w:val="20"/>
                <w:szCs w:val="20"/>
                <w:lang w:eastAsia="en-GB"/>
              </w:rPr>
            </w:pPr>
          </w:p>
        </w:tc>
        <w:tc>
          <w:tcPr>
            <w:tcW w:w="1575" w:type="dxa"/>
            <w:shd w:val="clear" w:color="auto" w:fill="BFBFBF" w:themeFill="background1" w:themeFillShade="BF"/>
          </w:tcPr>
          <w:p w14:paraId="1DD841BF" w14:textId="708A9B8D" w:rsidR="00E1622F" w:rsidRPr="002F7280" w:rsidRDefault="00E1622F" w:rsidP="00900708">
            <w:pPr>
              <w:spacing w:before="40" w:after="40" w:line="240" w:lineRule="auto"/>
              <w:rPr>
                <w:rFonts w:eastAsia="Times New Roman" w:cs="Arial"/>
                <w:sz w:val="20"/>
                <w:szCs w:val="20"/>
                <w:lang w:eastAsia="en-GB"/>
              </w:rPr>
            </w:pPr>
          </w:p>
        </w:tc>
        <w:tc>
          <w:tcPr>
            <w:tcW w:w="1564" w:type="dxa"/>
            <w:vMerge/>
            <w:shd w:val="clear" w:color="auto" w:fill="E7E2DE" w:themeFill="accent2" w:themeFillTint="33"/>
          </w:tcPr>
          <w:p w14:paraId="0576D06A" w14:textId="77777777" w:rsidR="00E1622F" w:rsidRDefault="00E1622F" w:rsidP="00900708">
            <w:pPr>
              <w:spacing w:before="40" w:after="40" w:line="240" w:lineRule="auto"/>
              <w:rPr>
                <w:rFonts w:eastAsia="Times New Roman" w:cs="Arial"/>
                <w:sz w:val="20"/>
                <w:szCs w:val="20"/>
                <w:lang w:eastAsia="en-GB"/>
              </w:rPr>
            </w:pPr>
          </w:p>
        </w:tc>
      </w:tr>
    </w:tbl>
    <w:p w14:paraId="637C068F" w14:textId="77777777" w:rsidR="00C34D12" w:rsidRPr="004E411A" w:rsidRDefault="00C34D12" w:rsidP="00271A78">
      <w:pPr>
        <w:rPr>
          <w:rFonts w:asciiTheme="minorHAnsi" w:hAnsiTheme="minorHAnsi" w:cstheme="minorHAnsi"/>
          <w:szCs w:val="24"/>
        </w:rPr>
        <w:sectPr w:rsidR="00C34D12" w:rsidRPr="004E411A" w:rsidSect="004E10C9">
          <w:pgSz w:w="16838" w:h="11906" w:orient="landscape" w:code="9"/>
          <w:pgMar w:top="1440" w:right="1440" w:bottom="1440" w:left="1440" w:header="709" w:footer="709" w:gutter="0"/>
          <w:cols w:space="708"/>
          <w:docGrid w:linePitch="360"/>
        </w:sectPr>
      </w:pPr>
    </w:p>
    <w:p w14:paraId="28147843" w14:textId="234A0A91" w:rsidR="00A37973" w:rsidRPr="00F45E79" w:rsidRDefault="00E402B3" w:rsidP="004448A4">
      <w:pPr>
        <w:pStyle w:val="Heading1"/>
      </w:pPr>
      <w:bookmarkStart w:id="33" w:name="_Toc510692493"/>
      <w:bookmarkStart w:id="34" w:name="_Toc523481610"/>
      <w:r>
        <w:lastRenderedPageBreak/>
        <w:t>Appendix</w:t>
      </w:r>
      <w:r w:rsidR="00267520" w:rsidRPr="00F45E79">
        <w:t xml:space="preserve"> </w:t>
      </w:r>
      <w:r w:rsidR="004B5A05">
        <w:t>6</w:t>
      </w:r>
      <w:r w:rsidR="00267520" w:rsidRPr="00F45E79">
        <w:t xml:space="preserve">: </w:t>
      </w:r>
      <w:r w:rsidR="00741C5A" w:rsidRPr="00F45E79">
        <w:t>E</w:t>
      </w:r>
      <w:r w:rsidR="00A37973" w:rsidRPr="00F45E79">
        <w:t>xpenditure</w:t>
      </w:r>
      <w:bookmarkEnd w:id="33"/>
      <w:bookmarkEnd w:id="34"/>
    </w:p>
    <w:p w14:paraId="73A4D0DD" w14:textId="36D89354" w:rsidR="00A37973" w:rsidRPr="00514E42" w:rsidRDefault="00514E42" w:rsidP="008D2010">
      <w:pPr>
        <w:pStyle w:val="Tableheading"/>
      </w:pPr>
      <w:bookmarkStart w:id="35" w:name="_Toc510692494"/>
      <w:r>
        <w:t xml:space="preserve">Table </w:t>
      </w:r>
      <w:r w:rsidR="00723ED7" w:rsidRPr="00514E42">
        <w:t>6</w:t>
      </w:r>
      <w:r w:rsidR="7E0B751E" w:rsidRPr="00514E42">
        <w:t xml:space="preserve">.1: </w:t>
      </w:r>
      <w:proofErr w:type="spellStart"/>
      <w:r w:rsidR="7E0B751E" w:rsidRPr="00514E42">
        <w:t>Totex</w:t>
      </w:r>
      <w:bookmarkEnd w:id="35"/>
      <w:proofErr w:type="spellEnd"/>
    </w:p>
    <w:tbl>
      <w:tblPr>
        <w:tblStyle w:val="Ofwatnew"/>
        <w:tblW w:w="8926" w:type="dxa"/>
        <w:tblLayout w:type="fixed"/>
        <w:tblLook w:val="04A0" w:firstRow="1" w:lastRow="0" w:firstColumn="1" w:lastColumn="0" w:noHBand="0" w:noVBand="1"/>
      </w:tblPr>
      <w:tblGrid>
        <w:gridCol w:w="3114"/>
        <w:gridCol w:w="2126"/>
        <w:gridCol w:w="1843"/>
        <w:gridCol w:w="1843"/>
      </w:tblGrid>
      <w:tr w:rsidR="00D868FB" w:rsidRPr="004E411A" w14:paraId="6348C7A4" w14:textId="77777777" w:rsidTr="00E1622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114" w:type="dxa"/>
          </w:tcPr>
          <w:p w14:paraId="41EFA10E" w14:textId="77777777" w:rsidR="00D868FB" w:rsidRDefault="00D868FB" w:rsidP="003F5B76">
            <w:pPr>
              <w:pStyle w:val="Tabledescriptorcells"/>
            </w:pPr>
            <w:r w:rsidRPr="7E0B751E">
              <w:t>Total expenditure</w:t>
            </w:r>
          </w:p>
          <w:p w14:paraId="14EDAF3D" w14:textId="69108B3F" w:rsidR="00D868FB" w:rsidRPr="00FB1851" w:rsidRDefault="00D868FB" w:rsidP="003F5B76">
            <w:pPr>
              <w:pStyle w:val="Tabledescriptorcells"/>
              <w:rPr>
                <w:rFonts w:asciiTheme="minorHAnsi" w:hAnsiTheme="minorHAnsi" w:cstheme="minorHAnsi"/>
                <w:sz w:val="18"/>
                <w:szCs w:val="18"/>
              </w:rPr>
            </w:pPr>
          </w:p>
        </w:tc>
        <w:tc>
          <w:tcPr>
            <w:tcW w:w="2126" w:type="dxa"/>
          </w:tcPr>
          <w:p w14:paraId="7D77C55D" w14:textId="0AC45E53" w:rsidR="00D868FB"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Price Base</w:t>
            </w:r>
          </w:p>
        </w:tc>
        <w:tc>
          <w:tcPr>
            <w:tcW w:w="1843" w:type="dxa"/>
          </w:tcPr>
          <w:p w14:paraId="7D6881DC" w14:textId="53945B1A"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PR14 final d</w:t>
            </w:r>
            <w:r w:rsidRPr="7E0B751E">
              <w:t>etermination</w:t>
            </w:r>
            <w:r>
              <w:t xml:space="preserve"> 2015-2020</w:t>
            </w:r>
          </w:p>
        </w:tc>
        <w:tc>
          <w:tcPr>
            <w:tcW w:w="1843" w:type="dxa"/>
          </w:tcPr>
          <w:p w14:paraId="4A49E346" w14:textId="77777777" w:rsidR="00D868FB" w:rsidRDefault="00D868FB" w:rsidP="003F5B76">
            <w:pPr>
              <w:pStyle w:val="Tabledescriptorcells"/>
              <w:cnfStyle w:val="100000000000" w:firstRow="1" w:lastRow="0" w:firstColumn="0" w:lastColumn="0" w:oddVBand="0" w:evenVBand="0" w:oddHBand="0" w:evenHBand="0" w:firstRowFirstColumn="0" w:firstRowLastColumn="0" w:lastRowFirstColumn="0" w:lastRowLastColumn="0"/>
            </w:pPr>
            <w:r w:rsidRPr="7E0B751E">
              <w:t>Proposed for PR19</w:t>
            </w:r>
            <w:r>
              <w:t xml:space="preserve"> </w:t>
            </w:r>
          </w:p>
          <w:p w14:paraId="2B6BD7F6" w14:textId="757E5111" w:rsidR="00D868FB" w:rsidRPr="004E411A" w:rsidRDefault="00D868FB" w:rsidP="00514E42">
            <w:pPr>
              <w:pStyle w:val="Tabledescriptorcells"/>
              <w:cnfStyle w:val="100000000000" w:firstRow="1" w:lastRow="0" w:firstColumn="0" w:lastColumn="0" w:oddVBand="0" w:evenVBand="0" w:oddHBand="0" w:evenHBand="0" w:firstRowFirstColumn="0" w:firstRowLastColumn="0" w:lastRowFirstColumn="0" w:lastRowLastColumn="0"/>
            </w:pPr>
            <w:r>
              <w:t>2020-2025</w:t>
            </w:r>
          </w:p>
        </w:tc>
      </w:tr>
      <w:tr w:rsidR="00D868FB" w:rsidRPr="004E411A" w14:paraId="2FD5C9A5" w14:textId="77777777" w:rsidTr="00572D79">
        <w:trPr>
          <w:cnfStyle w:val="000000100000" w:firstRow="0" w:lastRow="0" w:firstColumn="0" w:lastColumn="0" w:oddVBand="0" w:evenVBand="0" w:oddHBand="1" w:evenHBand="0" w:firstRowFirstColumn="0" w:firstRowLastColumn="0" w:lastRowFirstColumn="0" w:lastRowLastColumn="0"/>
          <w:trHeight w:val="225"/>
        </w:trPr>
        <w:tc>
          <w:tcPr>
            <w:tcW w:w="3114" w:type="dxa"/>
          </w:tcPr>
          <w:p w14:paraId="7A1FBF28" w14:textId="77777777" w:rsidR="00D868FB" w:rsidRPr="0090530C" w:rsidRDefault="00D868FB" w:rsidP="0090530C">
            <w:pPr>
              <w:pStyle w:val="Tableparagraph"/>
            </w:pPr>
            <w:r w:rsidRPr="00816503">
              <w:t>Water network plus (£m)</w:t>
            </w:r>
          </w:p>
        </w:tc>
        <w:tc>
          <w:tcPr>
            <w:tcW w:w="2126" w:type="dxa"/>
          </w:tcPr>
          <w:p w14:paraId="62484425" w14:textId="58598816" w:rsidR="00D868FB" w:rsidRPr="0090530C" w:rsidRDefault="00D868FB" w:rsidP="00B07A3B">
            <w:pPr>
              <w:pStyle w:val="Tableparagraph"/>
            </w:pPr>
            <w:r w:rsidRPr="0090530C">
              <w:t>2017-18 FYA (CPIH deflated)</w:t>
            </w:r>
          </w:p>
        </w:tc>
        <w:tc>
          <w:tcPr>
            <w:tcW w:w="1843" w:type="dxa"/>
            <w:vMerge w:val="restart"/>
            <w:vAlign w:val="center"/>
          </w:tcPr>
          <w:p w14:paraId="1779920C" w14:textId="776F56D2" w:rsidR="00D868FB" w:rsidRPr="0090530C" w:rsidRDefault="00572D79" w:rsidP="00572D79">
            <w:pPr>
              <w:pStyle w:val="Footertext"/>
              <w:spacing w:before="60"/>
              <w:jc w:val="center"/>
              <w:rPr>
                <w:rFonts w:ascii="Arial" w:hAnsi="Arial"/>
                <w:color w:val="auto"/>
                <w:szCs w:val="24"/>
              </w:rPr>
            </w:pPr>
            <w:r>
              <w:rPr>
                <w:rFonts w:ascii="Arial" w:hAnsi="Arial"/>
                <w:color w:val="auto"/>
                <w:szCs w:val="24"/>
              </w:rPr>
              <w:t>253.257</w:t>
            </w:r>
          </w:p>
        </w:tc>
        <w:tc>
          <w:tcPr>
            <w:tcW w:w="1843" w:type="dxa"/>
            <w:shd w:val="clear" w:color="auto" w:fill="auto"/>
            <w:vAlign w:val="center"/>
          </w:tcPr>
          <w:p w14:paraId="36D8A244" w14:textId="0562BE5D" w:rsidR="00D868FB" w:rsidRPr="0090530C" w:rsidRDefault="00572D79" w:rsidP="00572D79">
            <w:pPr>
              <w:pStyle w:val="Footertext"/>
              <w:spacing w:before="60"/>
              <w:jc w:val="center"/>
              <w:rPr>
                <w:rFonts w:ascii="Arial" w:hAnsi="Arial"/>
                <w:color w:val="auto"/>
                <w:szCs w:val="24"/>
              </w:rPr>
            </w:pPr>
            <w:r>
              <w:rPr>
                <w:rFonts w:ascii="Arial" w:hAnsi="Arial"/>
                <w:color w:val="auto"/>
                <w:szCs w:val="24"/>
              </w:rPr>
              <w:t>230.020</w:t>
            </w:r>
          </w:p>
        </w:tc>
      </w:tr>
      <w:tr w:rsidR="00D868FB" w:rsidRPr="004E411A" w14:paraId="0784D260" w14:textId="77777777" w:rsidTr="00572D79">
        <w:trPr>
          <w:cnfStyle w:val="000000010000" w:firstRow="0" w:lastRow="0" w:firstColumn="0" w:lastColumn="0" w:oddVBand="0" w:evenVBand="0" w:oddHBand="0" w:evenHBand="1" w:firstRowFirstColumn="0" w:firstRowLastColumn="0" w:lastRowFirstColumn="0" w:lastRowLastColumn="0"/>
        </w:trPr>
        <w:tc>
          <w:tcPr>
            <w:tcW w:w="3114" w:type="dxa"/>
          </w:tcPr>
          <w:p w14:paraId="37A58899" w14:textId="77777777" w:rsidR="00D868FB" w:rsidRPr="004E411A" w:rsidRDefault="00D868FB" w:rsidP="003F5B76">
            <w:pPr>
              <w:pStyle w:val="Tableparagraph"/>
            </w:pPr>
            <w:r w:rsidRPr="7E0B751E">
              <w:t>Water resources (£m)</w:t>
            </w:r>
          </w:p>
        </w:tc>
        <w:tc>
          <w:tcPr>
            <w:tcW w:w="2126" w:type="dxa"/>
          </w:tcPr>
          <w:p w14:paraId="6B1E4987" w14:textId="7DC6A774" w:rsidR="00D868FB" w:rsidRPr="00B07A3B" w:rsidRDefault="00D868FB" w:rsidP="003F5B76">
            <w:pPr>
              <w:pStyle w:val="Tableparagraph"/>
            </w:pPr>
            <w:r w:rsidRPr="0090530C">
              <w:t>2017-18 FYA (CPIH deflated)</w:t>
            </w:r>
          </w:p>
        </w:tc>
        <w:tc>
          <w:tcPr>
            <w:tcW w:w="1843" w:type="dxa"/>
            <w:vMerge/>
            <w:vAlign w:val="center"/>
          </w:tcPr>
          <w:p w14:paraId="64761E43" w14:textId="5DAA58D2" w:rsidR="00D868FB" w:rsidRPr="004E411A" w:rsidRDefault="00D868FB" w:rsidP="00572D79">
            <w:pPr>
              <w:pStyle w:val="Tableparagraph"/>
              <w:jc w:val="center"/>
              <w:rPr>
                <w:rFonts w:cstheme="minorHAnsi"/>
              </w:rPr>
            </w:pPr>
          </w:p>
        </w:tc>
        <w:tc>
          <w:tcPr>
            <w:tcW w:w="1843" w:type="dxa"/>
            <w:vAlign w:val="center"/>
          </w:tcPr>
          <w:p w14:paraId="5448CA46" w14:textId="382DA3DE" w:rsidR="00D868FB" w:rsidRPr="004E411A" w:rsidRDefault="00572D79" w:rsidP="00572D79">
            <w:pPr>
              <w:pStyle w:val="Tableparagraph"/>
              <w:jc w:val="center"/>
              <w:rPr>
                <w:rFonts w:cstheme="minorHAnsi"/>
              </w:rPr>
            </w:pPr>
            <w:r>
              <w:rPr>
                <w:rFonts w:cstheme="minorHAnsi"/>
              </w:rPr>
              <w:t>23.289</w:t>
            </w:r>
          </w:p>
        </w:tc>
      </w:tr>
      <w:tr w:rsidR="00D868FB" w:rsidRPr="004E411A" w14:paraId="0B576379" w14:textId="77777777" w:rsidTr="00572D79">
        <w:trPr>
          <w:cnfStyle w:val="000000100000" w:firstRow="0" w:lastRow="0" w:firstColumn="0" w:lastColumn="0" w:oddVBand="0" w:evenVBand="0" w:oddHBand="1" w:evenHBand="0" w:firstRowFirstColumn="0" w:firstRowLastColumn="0" w:lastRowFirstColumn="0" w:lastRowLastColumn="0"/>
        </w:trPr>
        <w:tc>
          <w:tcPr>
            <w:tcW w:w="3114" w:type="dxa"/>
          </w:tcPr>
          <w:p w14:paraId="0D87526B" w14:textId="77777777" w:rsidR="00D868FB" w:rsidRPr="004E411A" w:rsidRDefault="00D868FB" w:rsidP="003F5B76">
            <w:pPr>
              <w:pStyle w:val="Tableparagraph"/>
            </w:pPr>
            <w:r w:rsidRPr="7E0B751E">
              <w:t>Wastewater network plus (£m)</w:t>
            </w:r>
          </w:p>
        </w:tc>
        <w:tc>
          <w:tcPr>
            <w:tcW w:w="2126" w:type="dxa"/>
          </w:tcPr>
          <w:p w14:paraId="58083378" w14:textId="491309D2" w:rsidR="00D868FB" w:rsidRPr="00B07A3B" w:rsidRDefault="00D868FB" w:rsidP="003F5B76">
            <w:pPr>
              <w:pStyle w:val="Tableparagraph"/>
            </w:pPr>
            <w:r w:rsidRPr="0090530C">
              <w:t>2017-18 FYA (CPIH deflated)</w:t>
            </w:r>
          </w:p>
        </w:tc>
        <w:tc>
          <w:tcPr>
            <w:tcW w:w="1843" w:type="dxa"/>
            <w:vMerge w:val="restart"/>
            <w:shd w:val="clear" w:color="auto" w:fill="BFBFBF" w:themeFill="background1" w:themeFillShade="BF"/>
            <w:vAlign w:val="center"/>
          </w:tcPr>
          <w:p w14:paraId="1B71866D" w14:textId="2284B45E" w:rsidR="00D868FB" w:rsidRPr="004E411A" w:rsidRDefault="00D868FB" w:rsidP="00572D79">
            <w:pPr>
              <w:pStyle w:val="Tableparagraph"/>
              <w:jc w:val="center"/>
              <w:rPr>
                <w:rFonts w:cstheme="minorHAnsi"/>
              </w:rPr>
            </w:pPr>
          </w:p>
        </w:tc>
        <w:tc>
          <w:tcPr>
            <w:tcW w:w="1843" w:type="dxa"/>
            <w:shd w:val="clear" w:color="auto" w:fill="BFBFBF" w:themeFill="background1" w:themeFillShade="BF"/>
            <w:vAlign w:val="center"/>
          </w:tcPr>
          <w:p w14:paraId="7B01B3B0" w14:textId="2825F015" w:rsidR="00D868FB" w:rsidRPr="004E411A" w:rsidRDefault="00D868FB" w:rsidP="00572D79">
            <w:pPr>
              <w:pStyle w:val="Tableparagraph"/>
              <w:jc w:val="center"/>
              <w:rPr>
                <w:rFonts w:cstheme="minorHAnsi"/>
              </w:rPr>
            </w:pPr>
          </w:p>
        </w:tc>
      </w:tr>
      <w:tr w:rsidR="00D868FB" w:rsidRPr="004E411A" w14:paraId="12B11902" w14:textId="77777777" w:rsidTr="00572D79">
        <w:trPr>
          <w:cnfStyle w:val="000000010000" w:firstRow="0" w:lastRow="0" w:firstColumn="0" w:lastColumn="0" w:oddVBand="0" w:evenVBand="0" w:oddHBand="0" w:evenHBand="1" w:firstRowFirstColumn="0" w:firstRowLastColumn="0" w:lastRowFirstColumn="0" w:lastRowLastColumn="0"/>
        </w:trPr>
        <w:tc>
          <w:tcPr>
            <w:tcW w:w="3114" w:type="dxa"/>
          </w:tcPr>
          <w:p w14:paraId="328FC83D" w14:textId="77777777" w:rsidR="00D868FB" w:rsidRPr="004E411A" w:rsidRDefault="00D868FB" w:rsidP="003F5B76">
            <w:pPr>
              <w:pStyle w:val="Tableparagraph"/>
            </w:pPr>
            <w:r w:rsidRPr="7E0B751E">
              <w:t>Bio resources (£m)</w:t>
            </w:r>
          </w:p>
        </w:tc>
        <w:tc>
          <w:tcPr>
            <w:tcW w:w="2126" w:type="dxa"/>
          </w:tcPr>
          <w:p w14:paraId="525E8D1B" w14:textId="2A7E84F1" w:rsidR="00D868FB" w:rsidRPr="00B07A3B" w:rsidRDefault="00D868FB" w:rsidP="003F5B76">
            <w:pPr>
              <w:pStyle w:val="Tableparagraph"/>
            </w:pPr>
            <w:r w:rsidRPr="0090530C">
              <w:t>2017-18 FYA (CPIH deflated)</w:t>
            </w:r>
          </w:p>
        </w:tc>
        <w:tc>
          <w:tcPr>
            <w:tcW w:w="1843" w:type="dxa"/>
            <w:vMerge/>
            <w:shd w:val="clear" w:color="auto" w:fill="BFBFBF" w:themeFill="background1" w:themeFillShade="BF"/>
            <w:vAlign w:val="center"/>
          </w:tcPr>
          <w:p w14:paraId="5101973D" w14:textId="0E1B8F8B" w:rsidR="00D868FB" w:rsidRPr="004E411A" w:rsidRDefault="00D868FB" w:rsidP="00572D79">
            <w:pPr>
              <w:pStyle w:val="Tableparagraph"/>
              <w:jc w:val="center"/>
              <w:rPr>
                <w:rFonts w:cstheme="minorHAnsi"/>
              </w:rPr>
            </w:pPr>
          </w:p>
        </w:tc>
        <w:tc>
          <w:tcPr>
            <w:tcW w:w="1843" w:type="dxa"/>
            <w:shd w:val="clear" w:color="auto" w:fill="BFBFBF" w:themeFill="background1" w:themeFillShade="BF"/>
            <w:vAlign w:val="center"/>
          </w:tcPr>
          <w:p w14:paraId="7D2BC1A7" w14:textId="5EA180CC" w:rsidR="00D868FB" w:rsidRPr="004E411A" w:rsidRDefault="00D868FB" w:rsidP="00572D79">
            <w:pPr>
              <w:pStyle w:val="Tableparagraph"/>
              <w:jc w:val="center"/>
              <w:rPr>
                <w:rFonts w:cstheme="minorHAnsi"/>
              </w:rPr>
            </w:pPr>
          </w:p>
        </w:tc>
      </w:tr>
      <w:tr w:rsidR="00D868FB" w:rsidRPr="004E411A" w14:paraId="4D9C97A1" w14:textId="77777777" w:rsidTr="00572D79">
        <w:trPr>
          <w:cnfStyle w:val="000000100000" w:firstRow="0" w:lastRow="0" w:firstColumn="0" w:lastColumn="0" w:oddVBand="0" w:evenVBand="0" w:oddHBand="1" w:evenHBand="0" w:firstRowFirstColumn="0" w:firstRowLastColumn="0" w:lastRowFirstColumn="0" w:lastRowLastColumn="0"/>
        </w:trPr>
        <w:tc>
          <w:tcPr>
            <w:tcW w:w="3114" w:type="dxa"/>
          </w:tcPr>
          <w:p w14:paraId="2F192696" w14:textId="77777777" w:rsidR="00D868FB" w:rsidRPr="004E411A" w:rsidRDefault="00D868FB" w:rsidP="003F5B76">
            <w:pPr>
              <w:pStyle w:val="Tableparagraph"/>
            </w:pPr>
            <w:r w:rsidRPr="7E0B751E">
              <w:t>Residential retail costs</w:t>
            </w:r>
          </w:p>
        </w:tc>
        <w:tc>
          <w:tcPr>
            <w:tcW w:w="2126" w:type="dxa"/>
          </w:tcPr>
          <w:p w14:paraId="5A9C7A47" w14:textId="6A60D38C" w:rsidR="00D868FB" w:rsidRPr="00B07A3B" w:rsidRDefault="00E854A8" w:rsidP="003F5B76">
            <w:pPr>
              <w:pStyle w:val="Tableparagraph"/>
            </w:pPr>
            <w:r w:rsidRPr="0090530C">
              <w:t>Outturn (n</w:t>
            </w:r>
            <w:r w:rsidR="00D868FB" w:rsidRPr="0090530C">
              <w:t>ominal</w:t>
            </w:r>
            <w:r w:rsidRPr="0090530C">
              <w:t xml:space="preserve"> prices)</w:t>
            </w:r>
          </w:p>
        </w:tc>
        <w:tc>
          <w:tcPr>
            <w:tcW w:w="1843" w:type="dxa"/>
            <w:vAlign w:val="center"/>
          </w:tcPr>
          <w:p w14:paraId="72EA1F8E" w14:textId="5410534F" w:rsidR="00D868FB" w:rsidRPr="004E411A" w:rsidRDefault="00572D79" w:rsidP="00572D79">
            <w:pPr>
              <w:pStyle w:val="Tableparagraph"/>
              <w:jc w:val="center"/>
              <w:rPr>
                <w:rFonts w:cstheme="minorHAnsi"/>
              </w:rPr>
            </w:pPr>
            <w:r>
              <w:rPr>
                <w:rFonts w:cstheme="minorHAnsi"/>
              </w:rPr>
              <w:t>27.597</w:t>
            </w:r>
          </w:p>
        </w:tc>
        <w:tc>
          <w:tcPr>
            <w:tcW w:w="1843" w:type="dxa"/>
            <w:vAlign w:val="center"/>
          </w:tcPr>
          <w:p w14:paraId="413FF4BC" w14:textId="49F44A53" w:rsidR="00D868FB" w:rsidRPr="004E411A" w:rsidRDefault="00572D79" w:rsidP="00572D79">
            <w:pPr>
              <w:pStyle w:val="Tableparagraph"/>
              <w:jc w:val="center"/>
              <w:rPr>
                <w:rFonts w:cstheme="minorHAnsi"/>
              </w:rPr>
            </w:pPr>
            <w:r>
              <w:rPr>
                <w:rFonts w:cstheme="minorHAnsi"/>
              </w:rPr>
              <w:t>36.408</w:t>
            </w:r>
          </w:p>
        </w:tc>
      </w:tr>
    </w:tbl>
    <w:p w14:paraId="02BF74E0" w14:textId="26F423F5" w:rsidR="00267520" w:rsidRDefault="00514E42" w:rsidP="00F45E79">
      <w:pPr>
        <w:pStyle w:val="Tableheading"/>
      </w:pPr>
      <w:r>
        <w:t xml:space="preserve">Table </w:t>
      </w:r>
      <w:r w:rsidR="00723ED7" w:rsidRPr="00514E42">
        <w:t>6</w:t>
      </w:r>
      <w:r w:rsidR="00774B66" w:rsidRPr="00514E42">
        <w:t>.2</w:t>
      </w:r>
      <w:r w:rsidR="7E0B751E" w:rsidRPr="00514E42">
        <w:t>: Direct Procurement for Customers (DPC) proposals</w:t>
      </w:r>
    </w:p>
    <w:p w14:paraId="5E9C875A" w14:textId="6E680C2C" w:rsidR="00267520" w:rsidRPr="005512E1" w:rsidRDefault="005512E1" w:rsidP="005512E1">
      <w:pPr>
        <w:spacing w:before="240" w:after="240"/>
        <w:rPr>
          <w:rFonts w:asciiTheme="minorHAnsi" w:eastAsiaTheme="minorEastAsia" w:hAnsiTheme="minorHAnsi"/>
        </w:rPr>
      </w:pPr>
      <w:r w:rsidRPr="005512E1">
        <w:rPr>
          <w:rFonts w:asciiTheme="minorHAnsi" w:eastAsiaTheme="minorEastAsia" w:hAnsiTheme="minorHAnsi"/>
        </w:rPr>
        <w:t>We have</w:t>
      </w:r>
      <w:r>
        <w:rPr>
          <w:rFonts w:asciiTheme="minorHAnsi" w:eastAsiaTheme="minorEastAsia" w:hAnsiTheme="minorHAnsi"/>
        </w:rPr>
        <w:t xml:space="preserve"> no schemes in our business plan that met the materiality requirement to be classified as a Direct Procurement for Customers scheme.</w:t>
      </w:r>
    </w:p>
    <w:p w14:paraId="36016069" w14:textId="77777777" w:rsidR="00267520" w:rsidRPr="004E411A" w:rsidRDefault="00267520" w:rsidP="00267520">
      <w:pPr>
        <w:pStyle w:val="Footertext"/>
        <w:rPr>
          <w:rFonts w:asciiTheme="minorHAnsi" w:hAnsiTheme="minorHAnsi" w:cstheme="minorHAnsi"/>
          <w:color w:val="auto"/>
          <w:sz w:val="24"/>
          <w:szCs w:val="24"/>
        </w:rPr>
      </w:pPr>
    </w:p>
    <w:p w14:paraId="3E031215" w14:textId="77777777" w:rsidR="00267520" w:rsidRPr="004E411A" w:rsidRDefault="00267520" w:rsidP="00267520">
      <w:pPr>
        <w:pStyle w:val="Footertext"/>
        <w:rPr>
          <w:rFonts w:asciiTheme="minorHAnsi" w:hAnsiTheme="minorHAnsi" w:cstheme="minorHAnsi"/>
          <w:color w:val="auto"/>
          <w:sz w:val="24"/>
          <w:szCs w:val="24"/>
        </w:rPr>
      </w:pPr>
    </w:p>
    <w:p w14:paraId="16D97863" w14:textId="77777777" w:rsidR="00267520" w:rsidRPr="004E411A" w:rsidRDefault="00267520" w:rsidP="00267520">
      <w:pPr>
        <w:pStyle w:val="Footertext"/>
        <w:rPr>
          <w:rFonts w:asciiTheme="minorHAnsi" w:hAnsiTheme="minorHAnsi" w:cstheme="minorHAnsi"/>
          <w:color w:val="auto"/>
          <w:sz w:val="24"/>
          <w:szCs w:val="24"/>
        </w:rPr>
      </w:pPr>
    </w:p>
    <w:p w14:paraId="2FEC2FC1" w14:textId="77777777" w:rsidR="00267520" w:rsidRPr="004E411A" w:rsidRDefault="00267520" w:rsidP="00267520">
      <w:pPr>
        <w:pStyle w:val="Footertext"/>
        <w:rPr>
          <w:rFonts w:asciiTheme="minorHAnsi" w:hAnsiTheme="minorHAnsi" w:cstheme="minorHAnsi"/>
          <w:color w:val="auto"/>
          <w:sz w:val="24"/>
          <w:szCs w:val="24"/>
        </w:rPr>
      </w:pPr>
    </w:p>
    <w:p w14:paraId="39C33CB7" w14:textId="4F5F4E62" w:rsidR="00267520" w:rsidRPr="00F45E79" w:rsidRDefault="00E402B3" w:rsidP="004448A4">
      <w:pPr>
        <w:pStyle w:val="Heading1"/>
      </w:pPr>
      <w:bookmarkStart w:id="36" w:name="_Toc510692496"/>
      <w:bookmarkStart w:id="37" w:name="_Toc523481611"/>
      <w:r>
        <w:lastRenderedPageBreak/>
        <w:t>Appendix</w:t>
      </w:r>
      <w:r w:rsidR="004B5A05">
        <w:t xml:space="preserve"> 7</w:t>
      </w:r>
      <w:r w:rsidR="00816503">
        <w:t>: Trust, c</w:t>
      </w:r>
      <w:r w:rsidR="5FDB0479">
        <w:t xml:space="preserve">onfidence and </w:t>
      </w:r>
      <w:bookmarkEnd w:id="36"/>
      <w:r w:rsidR="00BE305E">
        <w:t>a</w:t>
      </w:r>
      <w:r w:rsidR="5FDB0479" w:rsidRPr="00F45E79">
        <w:t>ssurance</w:t>
      </w:r>
      <w:bookmarkEnd w:id="37"/>
    </w:p>
    <w:p w14:paraId="0B73D572" w14:textId="77777777" w:rsidR="00192CB4" w:rsidRDefault="00572D79" w:rsidP="004448A4">
      <w:pPr>
        <w:rPr>
          <w:szCs w:val="24"/>
        </w:rPr>
      </w:pPr>
      <w:r w:rsidRPr="00572D79">
        <w:t xml:space="preserve">As a monopoly company we are in a privileged position, which is why we have </w:t>
      </w:r>
      <w:r w:rsidRPr="00192CB4">
        <w:rPr>
          <w:szCs w:val="24"/>
        </w:rPr>
        <w:t xml:space="preserve">always taken a proactive approach to our corporate governance and the transparency of our decision making. We recognise how important this is in ensuring the trust and confidence of our customers. </w:t>
      </w:r>
    </w:p>
    <w:p w14:paraId="31C89303" w14:textId="2FF38387" w:rsidR="00A662E1" w:rsidRPr="00192CB4" w:rsidRDefault="00572D79" w:rsidP="004448A4">
      <w:pPr>
        <w:rPr>
          <w:szCs w:val="24"/>
        </w:rPr>
      </w:pPr>
      <w:r w:rsidRPr="00192CB4">
        <w:rPr>
          <w:szCs w:val="24"/>
        </w:rPr>
        <w:t>Our Board provides assurance that our Business Plan is high quality, deliverable and reflects the priorities of our customers, stakeholders, regulators and the Government.</w:t>
      </w:r>
      <w:r w:rsidR="00B42488">
        <w:rPr>
          <w:szCs w:val="24"/>
        </w:rPr>
        <w:t xml:space="preserve"> </w:t>
      </w:r>
      <w:r w:rsidR="00A662E1" w:rsidRPr="00192CB4">
        <w:rPr>
          <w:szCs w:val="24"/>
        </w:rPr>
        <w:t>The comprehensive process we have followed</w:t>
      </w:r>
      <w:r w:rsidR="004F547B">
        <w:rPr>
          <w:szCs w:val="24"/>
        </w:rPr>
        <w:t xml:space="preserve"> </w:t>
      </w:r>
      <w:r w:rsidR="004F547B" w:rsidRPr="00192CB4">
        <w:rPr>
          <w:szCs w:val="24"/>
        </w:rPr>
        <w:t>in developing our plan</w:t>
      </w:r>
      <w:r w:rsidR="004F547B">
        <w:rPr>
          <w:szCs w:val="24"/>
        </w:rPr>
        <w:t xml:space="preserve">, and the Board governance of this process, </w:t>
      </w:r>
      <w:r w:rsidR="00192CB4">
        <w:rPr>
          <w:szCs w:val="24"/>
        </w:rPr>
        <w:t xml:space="preserve">will safeguard its </w:t>
      </w:r>
      <w:r w:rsidR="00A662E1" w:rsidRPr="00192CB4">
        <w:rPr>
          <w:szCs w:val="24"/>
        </w:rPr>
        <w:t xml:space="preserve">successful delivery and the operational, financial and corporate resilience that it is intended to deliver. Our plan explains in detail how this will be delivered and </w:t>
      </w:r>
      <w:r w:rsidR="004F547B">
        <w:rPr>
          <w:szCs w:val="24"/>
        </w:rPr>
        <w:t>highlights are included below</w:t>
      </w:r>
      <w:r w:rsidR="00A662E1" w:rsidRPr="00192CB4">
        <w:rPr>
          <w:szCs w:val="24"/>
        </w:rPr>
        <w:t>.</w:t>
      </w:r>
    </w:p>
    <w:p w14:paraId="58A389B4" w14:textId="77777777" w:rsidR="00A662E1" w:rsidRDefault="00A662E1" w:rsidP="00A662E1">
      <w:pPr>
        <w:spacing w:before="0" w:after="0"/>
        <w:jc w:val="both"/>
        <w:rPr>
          <w:rFonts w:eastAsia="Arial" w:cs="Arial"/>
          <w:b/>
          <w:bCs/>
          <w:szCs w:val="24"/>
        </w:rPr>
      </w:pPr>
      <w:r w:rsidRPr="00192CB4">
        <w:rPr>
          <w:rFonts w:eastAsia="Arial" w:cs="Arial"/>
          <w:b/>
          <w:bCs/>
          <w:szCs w:val="24"/>
        </w:rPr>
        <w:t>Delivering operational, financial and corporate resilience</w:t>
      </w:r>
    </w:p>
    <w:p w14:paraId="7B5B02D0" w14:textId="231BD42F" w:rsidR="004F547B" w:rsidRPr="00E343D2" w:rsidRDefault="004F547B" w:rsidP="004F547B">
      <w:pPr>
        <w:pStyle w:val="ListParagraph"/>
        <w:numPr>
          <w:ilvl w:val="0"/>
          <w:numId w:val="15"/>
        </w:numPr>
        <w:spacing w:before="0" w:after="0"/>
        <w:jc w:val="both"/>
        <w:rPr>
          <w:sz w:val="24"/>
          <w:szCs w:val="24"/>
        </w:rPr>
      </w:pPr>
      <w:r w:rsidRPr="00E343D2">
        <w:rPr>
          <w:sz w:val="24"/>
          <w:szCs w:val="24"/>
        </w:rPr>
        <w:t>We will build on the resilience in the round approach that we have taken in developing our plan</w:t>
      </w:r>
      <w:r w:rsidRPr="00E343D2">
        <w:rPr>
          <w:rFonts w:eastAsia="Arial" w:cs="Arial"/>
          <w:sz w:val="24"/>
          <w:szCs w:val="24"/>
        </w:rPr>
        <w:t>, bringing together what are currently separate risk tools, so we continue to take a holistic view to delivering greater resilience</w:t>
      </w:r>
    </w:p>
    <w:p w14:paraId="7A287DBD" w14:textId="4B0EC259" w:rsidR="004F547B" w:rsidRPr="00E343D2" w:rsidRDefault="004F547B" w:rsidP="004F547B">
      <w:pPr>
        <w:pStyle w:val="ListParagraph"/>
        <w:numPr>
          <w:ilvl w:val="0"/>
          <w:numId w:val="15"/>
        </w:numPr>
        <w:spacing w:before="0" w:after="0"/>
        <w:jc w:val="both"/>
        <w:rPr>
          <w:sz w:val="24"/>
          <w:szCs w:val="24"/>
        </w:rPr>
      </w:pPr>
      <w:r w:rsidRPr="00E343D2">
        <w:rPr>
          <w:rFonts w:eastAsia="Arial" w:cs="Arial"/>
          <w:sz w:val="24"/>
          <w:szCs w:val="24"/>
        </w:rPr>
        <w:t>We are in the process of reducing our gearing which will be complete by 2020</w:t>
      </w:r>
    </w:p>
    <w:p w14:paraId="752EDA4A" w14:textId="2A383482" w:rsidR="004F547B" w:rsidRPr="00E343D2" w:rsidRDefault="004F547B" w:rsidP="004F547B">
      <w:pPr>
        <w:pStyle w:val="ListParagraph"/>
        <w:numPr>
          <w:ilvl w:val="0"/>
          <w:numId w:val="15"/>
        </w:numPr>
        <w:spacing w:before="0" w:after="0"/>
        <w:jc w:val="both"/>
        <w:rPr>
          <w:sz w:val="24"/>
          <w:szCs w:val="24"/>
        </w:rPr>
      </w:pPr>
      <w:r w:rsidRPr="00E343D2">
        <w:rPr>
          <w:rFonts w:eastAsia="Arial" w:cs="Arial"/>
          <w:sz w:val="24"/>
          <w:szCs w:val="24"/>
        </w:rPr>
        <w:t>Our plan commits to stretching performance commitments that cover all our operations and have been developed in collabartion with our customers and reflect their priorites.</w:t>
      </w:r>
    </w:p>
    <w:p w14:paraId="0BB1EA22" w14:textId="77777777" w:rsidR="00192CB4" w:rsidRPr="00192CB4" w:rsidRDefault="00192CB4" w:rsidP="00192CB4">
      <w:pPr>
        <w:spacing w:before="0" w:after="0"/>
        <w:jc w:val="both"/>
        <w:rPr>
          <w:szCs w:val="24"/>
        </w:rPr>
      </w:pPr>
    </w:p>
    <w:p w14:paraId="1828C9AF" w14:textId="77777777" w:rsidR="00A662E1" w:rsidRPr="00192CB4" w:rsidRDefault="00A662E1" w:rsidP="00192CB4">
      <w:pPr>
        <w:keepNext/>
        <w:spacing w:before="0" w:after="0"/>
        <w:jc w:val="both"/>
        <w:rPr>
          <w:rFonts w:eastAsia="Arial" w:cs="Arial"/>
          <w:b/>
          <w:bCs/>
          <w:szCs w:val="24"/>
        </w:rPr>
      </w:pPr>
      <w:r w:rsidRPr="00192CB4">
        <w:rPr>
          <w:rFonts w:eastAsia="Arial" w:cs="Arial"/>
          <w:b/>
          <w:bCs/>
          <w:szCs w:val="24"/>
        </w:rPr>
        <w:t>Enhancing trust and confidence</w:t>
      </w:r>
    </w:p>
    <w:p w14:paraId="464829F3" w14:textId="6228302C" w:rsidR="00192CB4" w:rsidRPr="00E343D2" w:rsidRDefault="00192CB4" w:rsidP="004F547B">
      <w:pPr>
        <w:pStyle w:val="ListParagraph"/>
        <w:numPr>
          <w:ilvl w:val="0"/>
          <w:numId w:val="15"/>
        </w:numPr>
        <w:spacing w:before="0" w:after="0"/>
        <w:jc w:val="both"/>
        <w:rPr>
          <w:sz w:val="24"/>
          <w:szCs w:val="24"/>
        </w:rPr>
      </w:pPr>
      <w:r w:rsidRPr="00E343D2">
        <w:rPr>
          <w:sz w:val="24"/>
          <w:szCs w:val="24"/>
        </w:rPr>
        <w:t xml:space="preserve">Our plan is firmly rooted in the views of our customers and other stakeholders. </w:t>
      </w:r>
      <w:r w:rsidR="00A662E1" w:rsidRPr="00E343D2">
        <w:rPr>
          <w:sz w:val="24"/>
          <w:szCs w:val="24"/>
        </w:rPr>
        <w:t>We are proud of our position as a socially responsible company that is deeply rooted in the communities we serve and we were heartened and reassured to hear customers talk about the value and importance they place on th</w:t>
      </w:r>
      <w:r w:rsidR="004F547B" w:rsidRPr="00E343D2">
        <w:rPr>
          <w:sz w:val="24"/>
          <w:szCs w:val="24"/>
        </w:rPr>
        <w:t>is</w:t>
      </w:r>
    </w:p>
    <w:p w14:paraId="5988E3B9" w14:textId="2C22BA68" w:rsidR="00192CB4" w:rsidRPr="00E343D2" w:rsidRDefault="004F547B" w:rsidP="004F547B">
      <w:pPr>
        <w:pStyle w:val="ListParagraph"/>
        <w:numPr>
          <w:ilvl w:val="0"/>
          <w:numId w:val="15"/>
        </w:numPr>
        <w:spacing w:before="0" w:after="0"/>
        <w:jc w:val="both"/>
        <w:rPr>
          <w:sz w:val="24"/>
          <w:szCs w:val="24"/>
        </w:rPr>
      </w:pPr>
      <w:r w:rsidRPr="00E343D2">
        <w:rPr>
          <w:sz w:val="24"/>
          <w:szCs w:val="24"/>
        </w:rPr>
        <w:t xml:space="preserve">We will enhance our dividend and executive pay policies to further demonstarte a clear link to delivery of what matters to our customers </w:t>
      </w:r>
    </w:p>
    <w:p w14:paraId="5DE5985F" w14:textId="75F52394" w:rsidR="00192CB4" w:rsidRPr="00E343D2" w:rsidRDefault="004F547B" w:rsidP="004F547B">
      <w:pPr>
        <w:pStyle w:val="ListParagraph"/>
        <w:numPr>
          <w:ilvl w:val="0"/>
          <w:numId w:val="15"/>
        </w:numPr>
        <w:spacing w:before="0" w:after="0"/>
        <w:jc w:val="both"/>
        <w:rPr>
          <w:sz w:val="24"/>
          <w:szCs w:val="24"/>
        </w:rPr>
      </w:pPr>
      <w:r w:rsidRPr="00E343D2">
        <w:rPr>
          <w:sz w:val="24"/>
          <w:szCs w:val="24"/>
        </w:rPr>
        <w:t xml:space="preserve">We will be </w:t>
      </w:r>
      <w:r w:rsidR="00A662E1" w:rsidRPr="00E343D2">
        <w:rPr>
          <w:sz w:val="24"/>
          <w:szCs w:val="24"/>
        </w:rPr>
        <w:t>transparent about what we do and how we do it. This means creating opportunities for conversations with our customers and the com</w:t>
      </w:r>
      <w:r w:rsidRPr="00E343D2">
        <w:rPr>
          <w:sz w:val="24"/>
          <w:szCs w:val="24"/>
        </w:rPr>
        <w:t>munities affected by what we do</w:t>
      </w:r>
    </w:p>
    <w:p w14:paraId="27F48FCB" w14:textId="643183A3" w:rsidR="004F547B" w:rsidRPr="00E343D2" w:rsidRDefault="00192CB4" w:rsidP="004F547B">
      <w:pPr>
        <w:pStyle w:val="ListParagraph"/>
        <w:numPr>
          <w:ilvl w:val="0"/>
          <w:numId w:val="15"/>
        </w:numPr>
        <w:spacing w:before="0" w:after="0"/>
        <w:jc w:val="both"/>
        <w:rPr>
          <w:sz w:val="24"/>
          <w:szCs w:val="24"/>
        </w:rPr>
      </w:pPr>
      <w:r w:rsidRPr="00E343D2">
        <w:rPr>
          <w:sz w:val="24"/>
          <w:szCs w:val="24"/>
        </w:rPr>
        <w:t>We are committed</w:t>
      </w:r>
      <w:r w:rsidR="00A662E1" w:rsidRPr="00E343D2">
        <w:rPr>
          <w:sz w:val="24"/>
          <w:szCs w:val="24"/>
        </w:rPr>
        <w:t xml:space="preserve"> to increased transparency around our performance (operational and financial) and our governance and decision-making processes.</w:t>
      </w:r>
      <w:r w:rsidRPr="00E343D2">
        <w:rPr>
          <w:sz w:val="24"/>
          <w:szCs w:val="24"/>
        </w:rPr>
        <w:t xml:space="preserve"> </w:t>
      </w:r>
      <w:r w:rsidR="00A662E1" w:rsidRPr="00E343D2">
        <w:rPr>
          <w:sz w:val="24"/>
          <w:szCs w:val="24"/>
        </w:rPr>
        <w:t>We have published accessible documents at key stages in the development of our plan</w:t>
      </w:r>
      <w:r w:rsidR="004F547B" w:rsidRPr="00E343D2">
        <w:rPr>
          <w:sz w:val="24"/>
          <w:szCs w:val="24"/>
        </w:rPr>
        <w:t>. The next step we will take is to publish a ‘Our governance and finances explained’ document to increase the accessibility and transparency of information</w:t>
      </w:r>
      <w:r w:rsidR="00E343D2">
        <w:rPr>
          <w:sz w:val="24"/>
          <w:szCs w:val="24"/>
        </w:rPr>
        <w:t>.</w:t>
      </w:r>
    </w:p>
    <w:p w14:paraId="05093608" w14:textId="6563CFC1" w:rsidR="00EB578F" w:rsidRPr="00192CB4" w:rsidRDefault="00572D79" w:rsidP="00A662E1">
      <w:pPr>
        <w:rPr>
          <w:szCs w:val="24"/>
        </w:rPr>
      </w:pPr>
      <w:r w:rsidRPr="00192CB4">
        <w:rPr>
          <w:szCs w:val="24"/>
        </w:rPr>
        <w:t xml:space="preserve">We recognise the importance of strong Board leadership, transparency and governance and are already operating in-line with the expectations of our regulators </w:t>
      </w:r>
      <w:r w:rsidRPr="00192CB4">
        <w:rPr>
          <w:szCs w:val="24"/>
        </w:rPr>
        <w:lastRenderedPageBreak/>
        <w:t xml:space="preserve">in this area. We are already acting to ensure that from 2020 our activity and decision making, particularly in relation to financial matters, is more transparent and accessible. </w:t>
      </w:r>
    </w:p>
    <w:sectPr w:rsidR="00EB578F" w:rsidRPr="00192CB4" w:rsidSect="00D868FB">
      <w:pgSz w:w="11906" w:h="16838" w:code="9"/>
      <w:pgMar w:top="1440" w:right="1440" w:bottom="1440" w:left="144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3258" w14:textId="77777777" w:rsidR="007C64CE" w:rsidRDefault="007C64CE" w:rsidP="00771412">
      <w:r>
        <w:separator/>
      </w:r>
    </w:p>
    <w:p w14:paraId="62EC0E31" w14:textId="77777777" w:rsidR="007C64CE" w:rsidRDefault="007C64CE"/>
  </w:endnote>
  <w:endnote w:type="continuationSeparator" w:id="0">
    <w:p w14:paraId="57E6684A" w14:textId="77777777" w:rsidR="007C64CE" w:rsidRDefault="007C64CE" w:rsidP="00771412">
      <w:r>
        <w:continuationSeparator/>
      </w:r>
    </w:p>
    <w:p w14:paraId="3D3BB0DB" w14:textId="77777777" w:rsidR="007C64CE" w:rsidRDefault="007C64CE"/>
  </w:endnote>
  <w:endnote w:type="continuationNotice" w:id="1">
    <w:p w14:paraId="353EBC9C" w14:textId="77777777" w:rsidR="007C64CE" w:rsidRDefault="007C64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DIN"/>
    <w:panose1 w:val="020B0604020202020204"/>
    <w:charset w:val="00"/>
    <w:family w:val="swiss"/>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Sans ExtraBold">
    <w:altName w:val="GillSans ExtraBold"/>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Times New">
    <w:altName w:val="Times New Roman"/>
    <w:panose1 w:val="020B0604020202020204"/>
    <w:charset w:val="00"/>
    <w:family w:val="roman"/>
    <w:notTrueType/>
    <w:pitch w:val="default"/>
  </w:font>
  <w:font w:name="Arial,Times New Roman">
    <w:altName w:val="Times New Roman"/>
    <w:panose1 w:val="020B0604020202020204"/>
    <w:charset w:val="00"/>
    <w:family w:val="roman"/>
    <w:notTrueType/>
    <w:pitch w:val="default"/>
  </w:font>
  <w:font w:name="Franklin Gothic Demi,Calib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65359"/>
      <w:docPartObj>
        <w:docPartGallery w:val="Page Numbers (Bottom of Page)"/>
        <w:docPartUnique/>
      </w:docPartObj>
    </w:sdtPr>
    <w:sdtEndPr>
      <w:rPr>
        <w:noProof/>
        <w:color w:val="A6A6A6" w:themeColor="background1" w:themeShade="A6"/>
      </w:rPr>
    </w:sdtEndPr>
    <w:sdtContent>
      <w:p w14:paraId="4F3B54D1" w14:textId="0D37E99B" w:rsidR="00895750" w:rsidRPr="004448A4" w:rsidRDefault="00895750" w:rsidP="004448A4">
        <w:pPr>
          <w:pStyle w:val="Footer"/>
          <w:pBdr>
            <w:top w:val="single" w:sz="18" w:space="1" w:color="0078C9" w:themeColor="accent1"/>
          </w:pBdr>
          <w:jc w:val="center"/>
          <w:rPr>
            <w:color w:val="A6A6A6" w:themeColor="background1" w:themeShade="A6"/>
          </w:rPr>
        </w:pPr>
        <w:r w:rsidRPr="000E4120">
          <w:rPr>
            <w:color w:val="A6A6A6" w:themeColor="background1" w:themeShade="A6"/>
          </w:rPr>
          <w:fldChar w:fldCharType="begin"/>
        </w:r>
        <w:r w:rsidRPr="000E4120">
          <w:rPr>
            <w:color w:val="A6A6A6" w:themeColor="background1" w:themeShade="A6"/>
          </w:rPr>
          <w:instrText xml:space="preserve"> PAGE   \* MERGEFORMAT </w:instrText>
        </w:r>
        <w:r w:rsidRPr="000E4120">
          <w:rPr>
            <w:color w:val="A6A6A6" w:themeColor="background1" w:themeShade="A6"/>
          </w:rPr>
          <w:fldChar w:fldCharType="separate"/>
        </w:r>
        <w:r w:rsidR="00E343D2">
          <w:rPr>
            <w:noProof/>
            <w:color w:val="A6A6A6" w:themeColor="background1" w:themeShade="A6"/>
          </w:rPr>
          <w:t>1</w:t>
        </w:r>
        <w:r w:rsidRPr="000E4120">
          <w:rPr>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21D3" w14:textId="77777777" w:rsidR="007C64CE" w:rsidRDefault="007C64CE" w:rsidP="00771412">
      <w:r>
        <w:separator/>
      </w:r>
    </w:p>
    <w:p w14:paraId="00ECA6F3" w14:textId="77777777" w:rsidR="007C64CE" w:rsidRDefault="007C64CE"/>
  </w:footnote>
  <w:footnote w:type="continuationSeparator" w:id="0">
    <w:p w14:paraId="0EC8B284" w14:textId="77777777" w:rsidR="007C64CE" w:rsidRDefault="007C64CE" w:rsidP="00771412">
      <w:r>
        <w:continuationSeparator/>
      </w:r>
    </w:p>
    <w:p w14:paraId="44753247" w14:textId="77777777" w:rsidR="007C64CE" w:rsidRDefault="007C64CE"/>
  </w:footnote>
  <w:footnote w:type="continuationNotice" w:id="1">
    <w:p w14:paraId="05AF1675" w14:textId="77777777" w:rsidR="007C64CE" w:rsidRDefault="007C64CE">
      <w:pPr>
        <w:spacing w:before="0" w:after="0" w:line="240" w:lineRule="auto"/>
      </w:pPr>
    </w:p>
  </w:footnote>
  <w:footnote w:id="2">
    <w:p w14:paraId="0486848B" w14:textId="77777777" w:rsidR="00895750" w:rsidRPr="00B5087B" w:rsidRDefault="00895750" w:rsidP="00082D1E">
      <w:pPr>
        <w:pStyle w:val="Default"/>
        <w:rPr>
          <w:rFonts w:ascii="Arial" w:hAnsi="Arial" w:cs="Arial"/>
          <w:sz w:val="18"/>
          <w:szCs w:val="18"/>
        </w:rPr>
      </w:pPr>
      <w:r>
        <w:rPr>
          <w:rStyle w:val="FootnoteReference"/>
        </w:rPr>
        <w:footnoteRef/>
      </w:r>
      <w:r>
        <w:t xml:space="preserve">  </w:t>
      </w:r>
      <w:r w:rsidRPr="00980B58">
        <w:rPr>
          <w:rFonts w:ascii="Arial" w:hAnsi="Arial" w:cs="Arial"/>
          <w:sz w:val="18"/>
          <w:szCs w:val="18"/>
        </w:rPr>
        <w:t>Aide Memoire for Custo</w:t>
      </w:r>
      <w:r>
        <w:rPr>
          <w:rFonts w:ascii="Arial" w:hAnsi="Arial" w:cs="Arial"/>
          <w:sz w:val="18"/>
          <w:szCs w:val="18"/>
        </w:rPr>
        <w:t>mer Challenge Groups – Ofwat March</w:t>
      </w:r>
      <w:r w:rsidRPr="00980B58">
        <w:rPr>
          <w:rFonts w:ascii="Arial" w:hAnsi="Arial" w:cs="Arial"/>
          <w:sz w:val="18"/>
          <w:szCs w:val="18"/>
        </w:rPr>
        <w:t xml:space="preserve"> 2018</w:t>
      </w:r>
      <w:r>
        <w:rPr>
          <w:rFonts w:ascii="Arial" w:hAnsi="Arial" w:cs="Arial"/>
          <w:sz w:val="18"/>
          <w:szCs w:val="18"/>
        </w:rPr>
        <w:t xml:space="preserve"> </w:t>
      </w:r>
      <w:hyperlink r:id="rId1" w:history="1">
        <w:r>
          <w:rPr>
            <w:rStyle w:val="Hyperlink"/>
            <w:rFonts w:ascii="Arial" w:hAnsi="Arial" w:cs="Arial"/>
            <w:sz w:val="18"/>
            <w:szCs w:val="18"/>
          </w:rPr>
          <w:t>Aide-memoire for CCGs</w:t>
        </w:r>
      </w:hyperlink>
    </w:p>
  </w:footnote>
  <w:footnote w:id="3">
    <w:p w14:paraId="379771B5" w14:textId="77777777" w:rsidR="00895750" w:rsidRDefault="00895750" w:rsidP="00082D1E">
      <w:pPr>
        <w:pStyle w:val="FootnoteText"/>
      </w:pPr>
      <w:r>
        <w:rPr>
          <w:rStyle w:val="FootnoteReference"/>
        </w:rPr>
        <w:footnoteRef/>
      </w:r>
      <w:r>
        <w:t xml:space="preserve"> </w:t>
      </w:r>
      <w:hyperlink r:id="rId2" w:history="1">
        <w:r>
          <w:rPr>
            <w:rStyle w:val="Hyperlink"/>
          </w:rPr>
          <w:t xml:space="preserve">Ofwat Customer Engagement Policy </w:t>
        </w:r>
      </w:hyperlink>
    </w:p>
  </w:footnote>
  <w:footnote w:id="4">
    <w:p w14:paraId="47F202D9" w14:textId="77777777" w:rsidR="00895750" w:rsidRDefault="00895750" w:rsidP="00082D1E">
      <w:pPr>
        <w:pStyle w:val="FootnoteText"/>
      </w:pPr>
      <w:r>
        <w:rPr>
          <w:rStyle w:val="FootnoteReference"/>
        </w:rPr>
        <w:footnoteRef/>
      </w:r>
      <w:r>
        <w:t xml:space="preserve"> </w:t>
      </w:r>
      <w:hyperlink r:id="rId3" w:history="1">
        <w:r>
          <w:rPr>
            <w:rStyle w:val="Hyperlink"/>
          </w:rPr>
          <w:t>Ofwat Final Methodology</w:t>
        </w:r>
      </w:hyperlink>
      <w:r>
        <w:t xml:space="preserve"> </w:t>
      </w:r>
    </w:p>
  </w:footnote>
  <w:footnote w:id="5">
    <w:p w14:paraId="63CF8D86" w14:textId="12B74A7E" w:rsidR="00895750" w:rsidRPr="00FE43A8" w:rsidRDefault="00895750" w:rsidP="00FE43A8">
      <w:pPr>
        <w:pStyle w:val="Default"/>
        <w:rPr>
          <w:rFonts w:ascii="Arial" w:eastAsia="Arial" w:hAnsi="Arial" w:cs="Arial"/>
          <w:sz w:val="20"/>
          <w:szCs w:val="20"/>
        </w:rPr>
      </w:pPr>
      <w:r>
        <w:rPr>
          <w:rStyle w:val="FootnoteReference"/>
        </w:rPr>
        <w:footnoteRef/>
      </w:r>
      <w:r>
        <w:t xml:space="preserve"> </w:t>
      </w:r>
      <w:r w:rsidRPr="4E03F48D">
        <w:rPr>
          <w:rFonts w:ascii="Arial" w:eastAsia="Arial" w:hAnsi="Arial" w:cs="Arial"/>
          <w:b/>
          <w:sz w:val="20"/>
          <w:szCs w:val="20"/>
        </w:rPr>
        <w:t>PCL met? - i</w:t>
      </w:r>
      <w:r w:rsidRPr="4E03F48D">
        <w:rPr>
          <w:rFonts w:ascii="Arial" w:eastAsia="Arial" w:hAnsi="Arial" w:cs="Arial"/>
          <w:sz w:val="20"/>
          <w:szCs w:val="20"/>
        </w:rPr>
        <w:t>f the performance commitment level (PCL) for the reporting year was met, or is forecast to be met, enter ‘Yes’. If the PCL for the reporting year was not met, or is forecast not to be met, enter ‘No’. If a PCL has not been set for the reporting year enter "-" (hyphen).</w:t>
      </w:r>
    </w:p>
  </w:footnote>
  <w:footnote w:id="6">
    <w:p w14:paraId="1EF5EED2" w14:textId="6BCAF488" w:rsidR="00895750" w:rsidRDefault="00895750">
      <w:pPr>
        <w:pStyle w:val="FootnoteText"/>
      </w:pPr>
      <w:r>
        <w:rPr>
          <w:rStyle w:val="FootnoteReference"/>
        </w:rPr>
        <w:footnoteRef/>
      </w:r>
      <w:r>
        <w:t xml:space="preserve"> This table includes all PR19 common performance commitments with the exception of C-Mex and D-Mex, as </w:t>
      </w:r>
      <w:r w:rsidRPr="00CC72C3">
        <w:t xml:space="preserve">the design of these is </w:t>
      </w:r>
      <w:r>
        <w:t xml:space="preserve">different.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39A0" w14:textId="4DEE02FC" w:rsidR="00895750" w:rsidRPr="00F45E79" w:rsidRDefault="00895750" w:rsidP="00F45E79">
    <w:pPr>
      <w:pBdr>
        <w:bottom w:val="single" w:sz="18" w:space="4" w:color="0078C9"/>
      </w:pBdr>
      <w:tabs>
        <w:tab w:val="center" w:pos="4513"/>
        <w:tab w:val="right" w:pos="9026"/>
      </w:tabs>
      <w:spacing w:before="0" w:after="640" w:line="240" w:lineRule="auto"/>
      <w:jc w:val="center"/>
      <w:rPr>
        <w:rFonts w:ascii="Times New Roman" w:eastAsia="Times New Roman" w:hAnsi="Times New Roman" w:cs="Times New Roman"/>
        <w:color w:val="857362" w:themeColor="accent2"/>
        <w:sz w:val="20"/>
        <w:szCs w:val="20"/>
        <w:lang w:eastAsia="en-GB"/>
      </w:rPr>
    </w:pPr>
    <w:r w:rsidRPr="4E03F48D">
      <w:rPr>
        <w:color w:val="857362"/>
        <w:sz w:val="20"/>
        <w:szCs w:val="20"/>
        <w:lang w:eastAsia="en-GB"/>
      </w:rPr>
      <w:t>Business plan briefing</w:t>
    </w:r>
    <w:r w:rsidRPr="4E03F48D">
      <w:rPr>
        <w:rFonts w:ascii="Times New Roman" w:eastAsia="Times New Roman" w:hAnsi="Times New Roman" w:cs="Times New Roman"/>
        <w:color w:val="857362"/>
        <w:sz w:val="20"/>
        <w:szCs w:val="20"/>
        <w:lang w:eastAsia="en-GB"/>
      </w:rPr>
      <w:t xml:space="preserve"> </w:t>
    </w:r>
    <w:r w:rsidRPr="00F45E79">
      <w:rPr>
        <w:rFonts w:eastAsia="Times New Roman" w:cs="Times New Roman"/>
        <w:color w:val="857362"/>
        <w:sz w:val="20"/>
        <w:szCs w:val="24"/>
        <w:lang w:eastAsia="en-GB"/>
      </w:rPr>
      <w:br/>
    </w:r>
    <w:r>
      <w:rPr>
        <w:color w:val="857362"/>
        <w:sz w:val="32"/>
        <w:szCs w:val="32"/>
        <w:shd w:val="clear" w:color="auto" w:fill="FFDE94" w:themeFill="accent3" w:themeFillTint="66"/>
        <w:lang w:eastAsia="en-GB"/>
      </w:rPr>
      <w:t>SES Water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5B0" w14:textId="77777777" w:rsidR="00895750" w:rsidRPr="00984B61" w:rsidRDefault="00895750" w:rsidP="00984B61">
    <w:pPr>
      <w:pStyle w:val="Companyname"/>
    </w:pPr>
    <w:r>
      <w:t>Bristol Water</w:t>
    </w:r>
    <w:r>
      <w:tab/>
    </w:r>
    <w:r>
      <w:tab/>
      <w:t>9 December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6798" w14:textId="77777777" w:rsidR="00895750" w:rsidRDefault="00895750" w:rsidP="00D9474E">
    <w:pPr>
      <w:pStyle w:val="Companyname"/>
    </w:pPr>
  </w:p>
  <w:p w14:paraId="7650E28B" w14:textId="77777777" w:rsidR="00895750" w:rsidRDefault="00895750" w:rsidP="00D9474E">
    <w:pPr>
      <w:pStyle w:val="Companyname"/>
    </w:pPr>
    <w:r>
      <w:t>[Company Name]</w:t>
    </w:r>
    <w:r>
      <w:tab/>
    </w:r>
    <w:r>
      <w:tab/>
      <w:t>[Insert Date]</w:t>
    </w:r>
  </w:p>
  <w:p w14:paraId="180FF4C6" w14:textId="77777777" w:rsidR="00895750" w:rsidRPr="00D9474E" w:rsidRDefault="00895750" w:rsidP="00D9474E">
    <w:pPr>
      <w:pStyle w:val="Company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48A"/>
    <w:multiLevelType w:val="hybridMultilevel"/>
    <w:tmpl w:val="7B74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E46CD"/>
    <w:multiLevelType w:val="hybridMultilevel"/>
    <w:tmpl w:val="493CF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42CD"/>
    <w:multiLevelType w:val="hybridMultilevel"/>
    <w:tmpl w:val="AA949E02"/>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84250"/>
    <w:multiLevelType w:val="hybridMultilevel"/>
    <w:tmpl w:val="857C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5A35"/>
    <w:multiLevelType w:val="hybridMultilevel"/>
    <w:tmpl w:val="C9E858B6"/>
    <w:lvl w:ilvl="0" w:tplc="98600BF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97B3F"/>
    <w:multiLevelType w:val="multilevel"/>
    <w:tmpl w:val="FB241676"/>
    <w:lvl w:ilvl="0">
      <w:start w:val="1"/>
      <w:numFmt w:val="decimal"/>
      <w:lvlText w:val="%1."/>
      <w:lvlJc w:val="left"/>
      <w:pPr>
        <w:ind w:left="360" w:hanging="360"/>
      </w:pPr>
      <w:rPr>
        <w:rFonts w:hint="default"/>
      </w:rPr>
    </w:lvl>
    <w:lvl w:ilvl="1">
      <w:start w:val="1"/>
      <w:numFmt w:val="decimal"/>
      <w:lvlText w:val="%2."/>
      <w:lvlJc w:val="left"/>
      <w:pPr>
        <w:ind w:left="31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6C5159"/>
    <w:multiLevelType w:val="hybridMultilevel"/>
    <w:tmpl w:val="2D100A9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6923"/>
    <w:multiLevelType w:val="hybridMultilevel"/>
    <w:tmpl w:val="69DA2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47357"/>
    <w:multiLevelType w:val="hybridMultilevel"/>
    <w:tmpl w:val="621A0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4794B"/>
    <w:multiLevelType w:val="hybridMultilevel"/>
    <w:tmpl w:val="EEA2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13EAA"/>
    <w:multiLevelType w:val="hybridMultilevel"/>
    <w:tmpl w:val="6928A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C5A3D"/>
    <w:multiLevelType w:val="hybridMultilevel"/>
    <w:tmpl w:val="7D48B9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C3521F"/>
    <w:multiLevelType w:val="hybridMultilevel"/>
    <w:tmpl w:val="8BC81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036EE5"/>
    <w:multiLevelType w:val="hybridMultilevel"/>
    <w:tmpl w:val="8B82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A4030"/>
    <w:multiLevelType w:val="hybridMultilevel"/>
    <w:tmpl w:val="FF56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336F8"/>
    <w:multiLevelType w:val="hybridMultilevel"/>
    <w:tmpl w:val="0D6C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A3438"/>
    <w:multiLevelType w:val="hybridMultilevel"/>
    <w:tmpl w:val="2B82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13"/>
  </w:num>
  <w:num w:numId="6">
    <w:abstractNumId w:val="8"/>
  </w:num>
  <w:num w:numId="7">
    <w:abstractNumId w:val="2"/>
  </w:num>
  <w:num w:numId="8">
    <w:abstractNumId w:val="14"/>
  </w:num>
  <w:num w:numId="9">
    <w:abstractNumId w:val="0"/>
  </w:num>
  <w:num w:numId="10">
    <w:abstractNumId w:val="6"/>
  </w:num>
  <w:num w:numId="11">
    <w:abstractNumId w:val="7"/>
  </w:num>
  <w:num w:numId="12">
    <w:abstractNumId w:val="16"/>
  </w:num>
  <w:num w:numId="13">
    <w:abstractNumId w:val="5"/>
  </w:num>
  <w:num w:numId="14">
    <w:abstractNumId w:val="15"/>
  </w:num>
  <w:num w:numId="15">
    <w:abstractNumId w:val="9"/>
  </w:num>
  <w:num w:numId="16">
    <w:abstractNumId w:val="4"/>
  </w:num>
  <w:num w:numId="17">
    <w:abstractNumId w:val="4"/>
  </w:num>
  <w:num w:numId="18">
    <w:abstractNumId w:val="12"/>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F1"/>
    <w:rsid w:val="00000323"/>
    <w:rsid w:val="000049DC"/>
    <w:rsid w:val="0000743C"/>
    <w:rsid w:val="00007BDD"/>
    <w:rsid w:val="000130FB"/>
    <w:rsid w:val="000144AB"/>
    <w:rsid w:val="000154CA"/>
    <w:rsid w:val="00016095"/>
    <w:rsid w:val="00023989"/>
    <w:rsid w:val="00026420"/>
    <w:rsid w:val="000272F5"/>
    <w:rsid w:val="000320A2"/>
    <w:rsid w:val="00032256"/>
    <w:rsid w:val="00033BA2"/>
    <w:rsid w:val="00037B0C"/>
    <w:rsid w:val="000450A0"/>
    <w:rsid w:val="00050171"/>
    <w:rsid w:val="00051358"/>
    <w:rsid w:val="00055914"/>
    <w:rsid w:val="00057464"/>
    <w:rsid w:val="00061C5C"/>
    <w:rsid w:val="00063C39"/>
    <w:rsid w:val="00071EA4"/>
    <w:rsid w:val="0007320C"/>
    <w:rsid w:val="00076951"/>
    <w:rsid w:val="00080486"/>
    <w:rsid w:val="00082D1E"/>
    <w:rsid w:val="00091C62"/>
    <w:rsid w:val="0009364A"/>
    <w:rsid w:val="00096BC0"/>
    <w:rsid w:val="000A16E4"/>
    <w:rsid w:val="000A3DB2"/>
    <w:rsid w:val="000A6CBF"/>
    <w:rsid w:val="000B2612"/>
    <w:rsid w:val="000B5E14"/>
    <w:rsid w:val="000C2DCE"/>
    <w:rsid w:val="000C5480"/>
    <w:rsid w:val="000C54DB"/>
    <w:rsid w:val="000D0D3D"/>
    <w:rsid w:val="000D1911"/>
    <w:rsid w:val="000D2759"/>
    <w:rsid w:val="000D3ED3"/>
    <w:rsid w:val="000D7A3F"/>
    <w:rsid w:val="000E3A32"/>
    <w:rsid w:val="000E4120"/>
    <w:rsid w:val="000E6469"/>
    <w:rsid w:val="000E6565"/>
    <w:rsid w:val="000E6E3A"/>
    <w:rsid w:val="000F1105"/>
    <w:rsid w:val="000F21CE"/>
    <w:rsid w:val="00100D8C"/>
    <w:rsid w:val="00104A42"/>
    <w:rsid w:val="00104D31"/>
    <w:rsid w:val="0010675F"/>
    <w:rsid w:val="00110909"/>
    <w:rsid w:val="00110E7F"/>
    <w:rsid w:val="00120DC2"/>
    <w:rsid w:val="00124B37"/>
    <w:rsid w:val="00130E50"/>
    <w:rsid w:val="00131016"/>
    <w:rsid w:val="001345D8"/>
    <w:rsid w:val="00136577"/>
    <w:rsid w:val="00137504"/>
    <w:rsid w:val="00141963"/>
    <w:rsid w:val="001443FD"/>
    <w:rsid w:val="00146475"/>
    <w:rsid w:val="00150618"/>
    <w:rsid w:val="00156094"/>
    <w:rsid w:val="00160209"/>
    <w:rsid w:val="00171155"/>
    <w:rsid w:val="00175A60"/>
    <w:rsid w:val="00181E35"/>
    <w:rsid w:val="00182DBD"/>
    <w:rsid w:val="00184D40"/>
    <w:rsid w:val="00185C3E"/>
    <w:rsid w:val="001904C0"/>
    <w:rsid w:val="00192CB4"/>
    <w:rsid w:val="00194423"/>
    <w:rsid w:val="001966ED"/>
    <w:rsid w:val="0019677D"/>
    <w:rsid w:val="001967F5"/>
    <w:rsid w:val="0019685B"/>
    <w:rsid w:val="00197ED5"/>
    <w:rsid w:val="001A271B"/>
    <w:rsid w:val="001A2B6F"/>
    <w:rsid w:val="001A6303"/>
    <w:rsid w:val="001A6867"/>
    <w:rsid w:val="001B18DC"/>
    <w:rsid w:val="001B4074"/>
    <w:rsid w:val="001B6445"/>
    <w:rsid w:val="001C2476"/>
    <w:rsid w:val="001C2AE6"/>
    <w:rsid w:val="001C4141"/>
    <w:rsid w:val="001C4B73"/>
    <w:rsid w:val="001C742B"/>
    <w:rsid w:val="001D0D6D"/>
    <w:rsid w:val="001D5424"/>
    <w:rsid w:val="001D7000"/>
    <w:rsid w:val="001D7D46"/>
    <w:rsid w:val="001E261D"/>
    <w:rsid w:val="001E632C"/>
    <w:rsid w:val="00205AE5"/>
    <w:rsid w:val="002077C5"/>
    <w:rsid w:val="00211588"/>
    <w:rsid w:val="002120C6"/>
    <w:rsid w:val="00212DE8"/>
    <w:rsid w:val="00222DD3"/>
    <w:rsid w:val="002231E5"/>
    <w:rsid w:val="002235B2"/>
    <w:rsid w:val="0022529E"/>
    <w:rsid w:val="002339F0"/>
    <w:rsid w:val="00234437"/>
    <w:rsid w:val="00235491"/>
    <w:rsid w:val="00235E6C"/>
    <w:rsid w:val="0024639E"/>
    <w:rsid w:val="002603F0"/>
    <w:rsid w:val="00262ECE"/>
    <w:rsid w:val="0026546D"/>
    <w:rsid w:val="00267520"/>
    <w:rsid w:val="00267ABB"/>
    <w:rsid w:val="00271A78"/>
    <w:rsid w:val="00272758"/>
    <w:rsid w:val="0027725F"/>
    <w:rsid w:val="0028019F"/>
    <w:rsid w:val="002821C5"/>
    <w:rsid w:val="00283494"/>
    <w:rsid w:val="00284946"/>
    <w:rsid w:val="00285430"/>
    <w:rsid w:val="00293197"/>
    <w:rsid w:val="00297439"/>
    <w:rsid w:val="002A53A2"/>
    <w:rsid w:val="002B21AB"/>
    <w:rsid w:val="002B26FF"/>
    <w:rsid w:val="002B5149"/>
    <w:rsid w:val="002B5B27"/>
    <w:rsid w:val="002B7194"/>
    <w:rsid w:val="002C1DA6"/>
    <w:rsid w:val="002C6BC4"/>
    <w:rsid w:val="002D7C24"/>
    <w:rsid w:val="002E0334"/>
    <w:rsid w:val="002E3502"/>
    <w:rsid w:val="002E45AD"/>
    <w:rsid w:val="002E4B83"/>
    <w:rsid w:val="002E6E2F"/>
    <w:rsid w:val="002E7423"/>
    <w:rsid w:val="002F055C"/>
    <w:rsid w:val="002F4A1B"/>
    <w:rsid w:val="002F7280"/>
    <w:rsid w:val="00301C78"/>
    <w:rsid w:val="00305715"/>
    <w:rsid w:val="00305D83"/>
    <w:rsid w:val="00311976"/>
    <w:rsid w:val="0031547F"/>
    <w:rsid w:val="00315813"/>
    <w:rsid w:val="003253D7"/>
    <w:rsid w:val="003262D6"/>
    <w:rsid w:val="00327EFC"/>
    <w:rsid w:val="00330BC6"/>
    <w:rsid w:val="00331D7C"/>
    <w:rsid w:val="00332BD4"/>
    <w:rsid w:val="00334F16"/>
    <w:rsid w:val="0033549F"/>
    <w:rsid w:val="003404D4"/>
    <w:rsid w:val="00340AAA"/>
    <w:rsid w:val="003425A9"/>
    <w:rsid w:val="003471A6"/>
    <w:rsid w:val="00352C81"/>
    <w:rsid w:val="00353BD2"/>
    <w:rsid w:val="00362D6E"/>
    <w:rsid w:val="003672FB"/>
    <w:rsid w:val="00376738"/>
    <w:rsid w:val="00376CB3"/>
    <w:rsid w:val="003778E5"/>
    <w:rsid w:val="003801F8"/>
    <w:rsid w:val="0038209A"/>
    <w:rsid w:val="0039160E"/>
    <w:rsid w:val="00393A38"/>
    <w:rsid w:val="003A1593"/>
    <w:rsid w:val="003B083C"/>
    <w:rsid w:val="003B26C2"/>
    <w:rsid w:val="003B3C3F"/>
    <w:rsid w:val="003B62C5"/>
    <w:rsid w:val="003C5605"/>
    <w:rsid w:val="003D1151"/>
    <w:rsid w:val="003D1CA7"/>
    <w:rsid w:val="003D5702"/>
    <w:rsid w:val="003D5D07"/>
    <w:rsid w:val="003D7513"/>
    <w:rsid w:val="003D7F92"/>
    <w:rsid w:val="003E0951"/>
    <w:rsid w:val="003E2CB8"/>
    <w:rsid w:val="003E3D83"/>
    <w:rsid w:val="003F13FC"/>
    <w:rsid w:val="003F5B76"/>
    <w:rsid w:val="0040071F"/>
    <w:rsid w:val="00401D5D"/>
    <w:rsid w:val="0040211B"/>
    <w:rsid w:val="00404E48"/>
    <w:rsid w:val="00406FE6"/>
    <w:rsid w:val="00410761"/>
    <w:rsid w:val="00413681"/>
    <w:rsid w:val="00417D7A"/>
    <w:rsid w:val="00426B56"/>
    <w:rsid w:val="00434FA2"/>
    <w:rsid w:val="004448A4"/>
    <w:rsid w:val="00445058"/>
    <w:rsid w:val="004472A5"/>
    <w:rsid w:val="004520F5"/>
    <w:rsid w:val="00454909"/>
    <w:rsid w:val="00457AE5"/>
    <w:rsid w:val="00464690"/>
    <w:rsid w:val="004668EE"/>
    <w:rsid w:val="004679CD"/>
    <w:rsid w:val="00467F57"/>
    <w:rsid w:val="00472CED"/>
    <w:rsid w:val="00475534"/>
    <w:rsid w:val="00476902"/>
    <w:rsid w:val="00476EB7"/>
    <w:rsid w:val="0047702F"/>
    <w:rsid w:val="00477C90"/>
    <w:rsid w:val="00481B59"/>
    <w:rsid w:val="00482314"/>
    <w:rsid w:val="00482E04"/>
    <w:rsid w:val="00484C22"/>
    <w:rsid w:val="0048567A"/>
    <w:rsid w:val="004872B5"/>
    <w:rsid w:val="004923E5"/>
    <w:rsid w:val="004935A9"/>
    <w:rsid w:val="00494105"/>
    <w:rsid w:val="004A1061"/>
    <w:rsid w:val="004A1FF0"/>
    <w:rsid w:val="004B34BF"/>
    <w:rsid w:val="004B5A05"/>
    <w:rsid w:val="004B5A18"/>
    <w:rsid w:val="004B5DAE"/>
    <w:rsid w:val="004B748D"/>
    <w:rsid w:val="004C04A4"/>
    <w:rsid w:val="004C0AF1"/>
    <w:rsid w:val="004C552C"/>
    <w:rsid w:val="004C6F00"/>
    <w:rsid w:val="004C72E5"/>
    <w:rsid w:val="004C77BF"/>
    <w:rsid w:val="004D159B"/>
    <w:rsid w:val="004D29F4"/>
    <w:rsid w:val="004D42D7"/>
    <w:rsid w:val="004D45B3"/>
    <w:rsid w:val="004D67DF"/>
    <w:rsid w:val="004E07C6"/>
    <w:rsid w:val="004E0D2F"/>
    <w:rsid w:val="004E10C9"/>
    <w:rsid w:val="004E13F8"/>
    <w:rsid w:val="004E411A"/>
    <w:rsid w:val="004F4CAB"/>
    <w:rsid w:val="004F4F55"/>
    <w:rsid w:val="004F547B"/>
    <w:rsid w:val="004F7D61"/>
    <w:rsid w:val="005011D3"/>
    <w:rsid w:val="005063A1"/>
    <w:rsid w:val="00514E42"/>
    <w:rsid w:val="005164C9"/>
    <w:rsid w:val="005171F2"/>
    <w:rsid w:val="005252E8"/>
    <w:rsid w:val="0052629E"/>
    <w:rsid w:val="0053212B"/>
    <w:rsid w:val="005350F7"/>
    <w:rsid w:val="005355A3"/>
    <w:rsid w:val="00535FF8"/>
    <w:rsid w:val="005373BD"/>
    <w:rsid w:val="0053743F"/>
    <w:rsid w:val="00542151"/>
    <w:rsid w:val="00543C6F"/>
    <w:rsid w:val="0054568C"/>
    <w:rsid w:val="005470AF"/>
    <w:rsid w:val="00547963"/>
    <w:rsid w:val="005509BC"/>
    <w:rsid w:val="00550C1E"/>
    <w:rsid w:val="00550F3D"/>
    <w:rsid w:val="005512E1"/>
    <w:rsid w:val="00551FC8"/>
    <w:rsid w:val="00552A4D"/>
    <w:rsid w:val="00555A6C"/>
    <w:rsid w:val="00560FBB"/>
    <w:rsid w:val="00564B08"/>
    <w:rsid w:val="00570B70"/>
    <w:rsid w:val="00572A6A"/>
    <w:rsid w:val="00572D79"/>
    <w:rsid w:val="00575DA9"/>
    <w:rsid w:val="005772E0"/>
    <w:rsid w:val="005811AC"/>
    <w:rsid w:val="00583C7D"/>
    <w:rsid w:val="0059062A"/>
    <w:rsid w:val="00590DF1"/>
    <w:rsid w:val="005941DE"/>
    <w:rsid w:val="00594842"/>
    <w:rsid w:val="00595CF1"/>
    <w:rsid w:val="00596B92"/>
    <w:rsid w:val="00596E0E"/>
    <w:rsid w:val="005A1249"/>
    <w:rsid w:val="005A3AC5"/>
    <w:rsid w:val="005A4681"/>
    <w:rsid w:val="005B195E"/>
    <w:rsid w:val="005B41BB"/>
    <w:rsid w:val="005B4A90"/>
    <w:rsid w:val="005B528A"/>
    <w:rsid w:val="005B5D65"/>
    <w:rsid w:val="005B6437"/>
    <w:rsid w:val="005B77FF"/>
    <w:rsid w:val="005B795F"/>
    <w:rsid w:val="005C2458"/>
    <w:rsid w:val="005C36A4"/>
    <w:rsid w:val="005C4842"/>
    <w:rsid w:val="005D2F0B"/>
    <w:rsid w:val="005D647D"/>
    <w:rsid w:val="005D7946"/>
    <w:rsid w:val="005E0CE1"/>
    <w:rsid w:val="005E1585"/>
    <w:rsid w:val="005E2420"/>
    <w:rsid w:val="005E6734"/>
    <w:rsid w:val="005F1910"/>
    <w:rsid w:val="005F224A"/>
    <w:rsid w:val="005F33BA"/>
    <w:rsid w:val="005F6851"/>
    <w:rsid w:val="005F6A76"/>
    <w:rsid w:val="0060250E"/>
    <w:rsid w:val="00604115"/>
    <w:rsid w:val="0060453E"/>
    <w:rsid w:val="00604A2A"/>
    <w:rsid w:val="00604BBA"/>
    <w:rsid w:val="006062C0"/>
    <w:rsid w:val="006101CF"/>
    <w:rsid w:val="00611E8F"/>
    <w:rsid w:val="00613E24"/>
    <w:rsid w:val="00615FED"/>
    <w:rsid w:val="00617E67"/>
    <w:rsid w:val="00622C62"/>
    <w:rsid w:val="0062386C"/>
    <w:rsid w:val="0062424F"/>
    <w:rsid w:val="00627E34"/>
    <w:rsid w:val="00635AB0"/>
    <w:rsid w:val="00640B16"/>
    <w:rsid w:val="006412C0"/>
    <w:rsid w:val="0064145C"/>
    <w:rsid w:val="00641993"/>
    <w:rsid w:val="006426FC"/>
    <w:rsid w:val="006467E6"/>
    <w:rsid w:val="00653116"/>
    <w:rsid w:val="00654B45"/>
    <w:rsid w:val="00667244"/>
    <w:rsid w:val="006707A1"/>
    <w:rsid w:val="0067195C"/>
    <w:rsid w:val="00672B82"/>
    <w:rsid w:val="006829F1"/>
    <w:rsid w:val="0068416B"/>
    <w:rsid w:val="0069454F"/>
    <w:rsid w:val="00694A6E"/>
    <w:rsid w:val="0069562F"/>
    <w:rsid w:val="0069738E"/>
    <w:rsid w:val="006A457C"/>
    <w:rsid w:val="006A5D4C"/>
    <w:rsid w:val="006B3048"/>
    <w:rsid w:val="006B36C6"/>
    <w:rsid w:val="006B36C8"/>
    <w:rsid w:val="006B36F7"/>
    <w:rsid w:val="006B730D"/>
    <w:rsid w:val="006C388E"/>
    <w:rsid w:val="006C5F6A"/>
    <w:rsid w:val="006C769F"/>
    <w:rsid w:val="006D14B2"/>
    <w:rsid w:val="006D7619"/>
    <w:rsid w:val="006E0B42"/>
    <w:rsid w:val="006E1652"/>
    <w:rsid w:val="006F5ECC"/>
    <w:rsid w:val="006F6ED3"/>
    <w:rsid w:val="00701F1B"/>
    <w:rsid w:val="00702BC0"/>
    <w:rsid w:val="00703941"/>
    <w:rsid w:val="00711CC9"/>
    <w:rsid w:val="00716C01"/>
    <w:rsid w:val="0071733A"/>
    <w:rsid w:val="00717E4C"/>
    <w:rsid w:val="00722C4B"/>
    <w:rsid w:val="00723ED7"/>
    <w:rsid w:val="00724670"/>
    <w:rsid w:val="00726991"/>
    <w:rsid w:val="00733A4C"/>
    <w:rsid w:val="00734818"/>
    <w:rsid w:val="00735C5E"/>
    <w:rsid w:val="00735D93"/>
    <w:rsid w:val="00735FBE"/>
    <w:rsid w:val="00736AC1"/>
    <w:rsid w:val="00740C9F"/>
    <w:rsid w:val="00741C5A"/>
    <w:rsid w:val="00743307"/>
    <w:rsid w:val="00753718"/>
    <w:rsid w:val="00754141"/>
    <w:rsid w:val="0076480C"/>
    <w:rsid w:val="00771112"/>
    <w:rsid w:val="00771412"/>
    <w:rsid w:val="00771E92"/>
    <w:rsid w:val="00773B8F"/>
    <w:rsid w:val="00774B66"/>
    <w:rsid w:val="00776DF1"/>
    <w:rsid w:val="00776E5C"/>
    <w:rsid w:val="0077741C"/>
    <w:rsid w:val="00781361"/>
    <w:rsid w:val="0078307B"/>
    <w:rsid w:val="00784CCF"/>
    <w:rsid w:val="00785CB2"/>
    <w:rsid w:val="00795531"/>
    <w:rsid w:val="007A4C0A"/>
    <w:rsid w:val="007A6AC8"/>
    <w:rsid w:val="007B0DE0"/>
    <w:rsid w:val="007B0E3B"/>
    <w:rsid w:val="007B1990"/>
    <w:rsid w:val="007B3008"/>
    <w:rsid w:val="007B3199"/>
    <w:rsid w:val="007B4DF6"/>
    <w:rsid w:val="007C64CE"/>
    <w:rsid w:val="007C6EAE"/>
    <w:rsid w:val="007D3C6E"/>
    <w:rsid w:val="007D7383"/>
    <w:rsid w:val="007E13E2"/>
    <w:rsid w:val="007E3098"/>
    <w:rsid w:val="007E69DC"/>
    <w:rsid w:val="007E7871"/>
    <w:rsid w:val="007F11D9"/>
    <w:rsid w:val="007F3EBC"/>
    <w:rsid w:val="00800CFF"/>
    <w:rsid w:val="00801F36"/>
    <w:rsid w:val="00802015"/>
    <w:rsid w:val="00805891"/>
    <w:rsid w:val="00806677"/>
    <w:rsid w:val="0081353F"/>
    <w:rsid w:val="00815F99"/>
    <w:rsid w:val="00816503"/>
    <w:rsid w:val="00816CAA"/>
    <w:rsid w:val="0082224A"/>
    <w:rsid w:val="00824904"/>
    <w:rsid w:val="00826CE2"/>
    <w:rsid w:val="00832767"/>
    <w:rsid w:val="00834217"/>
    <w:rsid w:val="008352E8"/>
    <w:rsid w:val="008355FD"/>
    <w:rsid w:val="008367B7"/>
    <w:rsid w:val="008428B9"/>
    <w:rsid w:val="00843B3F"/>
    <w:rsid w:val="00844FA8"/>
    <w:rsid w:val="00846659"/>
    <w:rsid w:val="0084708B"/>
    <w:rsid w:val="00847D9B"/>
    <w:rsid w:val="00862291"/>
    <w:rsid w:val="008632D6"/>
    <w:rsid w:val="00864B3E"/>
    <w:rsid w:val="00865002"/>
    <w:rsid w:val="00866A58"/>
    <w:rsid w:val="00870063"/>
    <w:rsid w:val="008713A5"/>
    <w:rsid w:val="00875703"/>
    <w:rsid w:val="008772D0"/>
    <w:rsid w:val="00880ECF"/>
    <w:rsid w:val="008846CE"/>
    <w:rsid w:val="0088738A"/>
    <w:rsid w:val="008933C6"/>
    <w:rsid w:val="008955F4"/>
    <w:rsid w:val="00895750"/>
    <w:rsid w:val="00897138"/>
    <w:rsid w:val="008A089A"/>
    <w:rsid w:val="008A4552"/>
    <w:rsid w:val="008A6816"/>
    <w:rsid w:val="008A6F34"/>
    <w:rsid w:val="008A7876"/>
    <w:rsid w:val="008A7CEE"/>
    <w:rsid w:val="008B2B7B"/>
    <w:rsid w:val="008B71FE"/>
    <w:rsid w:val="008B72B3"/>
    <w:rsid w:val="008C03D2"/>
    <w:rsid w:val="008C0A31"/>
    <w:rsid w:val="008C1046"/>
    <w:rsid w:val="008C3534"/>
    <w:rsid w:val="008C3899"/>
    <w:rsid w:val="008C517D"/>
    <w:rsid w:val="008C518E"/>
    <w:rsid w:val="008C57C5"/>
    <w:rsid w:val="008C6105"/>
    <w:rsid w:val="008D2010"/>
    <w:rsid w:val="008D2016"/>
    <w:rsid w:val="008D3AA6"/>
    <w:rsid w:val="008D42CA"/>
    <w:rsid w:val="008D6842"/>
    <w:rsid w:val="008E2890"/>
    <w:rsid w:val="008E3C44"/>
    <w:rsid w:val="008E74B0"/>
    <w:rsid w:val="008F15EA"/>
    <w:rsid w:val="008F1CD4"/>
    <w:rsid w:val="008F21FC"/>
    <w:rsid w:val="008F3C69"/>
    <w:rsid w:val="008F63A1"/>
    <w:rsid w:val="008F6DC6"/>
    <w:rsid w:val="00900708"/>
    <w:rsid w:val="00902C91"/>
    <w:rsid w:val="0090530C"/>
    <w:rsid w:val="009059AE"/>
    <w:rsid w:val="009066CA"/>
    <w:rsid w:val="009120A0"/>
    <w:rsid w:val="009128B6"/>
    <w:rsid w:val="00917A94"/>
    <w:rsid w:val="00922177"/>
    <w:rsid w:val="00925672"/>
    <w:rsid w:val="00927601"/>
    <w:rsid w:val="0093192D"/>
    <w:rsid w:val="00932B76"/>
    <w:rsid w:val="00935400"/>
    <w:rsid w:val="009369B8"/>
    <w:rsid w:val="00940EB0"/>
    <w:rsid w:val="009416EC"/>
    <w:rsid w:val="0094419F"/>
    <w:rsid w:val="009465C1"/>
    <w:rsid w:val="0095141A"/>
    <w:rsid w:val="00951681"/>
    <w:rsid w:val="00953C61"/>
    <w:rsid w:val="009567EA"/>
    <w:rsid w:val="00956F5C"/>
    <w:rsid w:val="0095794C"/>
    <w:rsid w:val="009642DF"/>
    <w:rsid w:val="00967C84"/>
    <w:rsid w:val="00972B88"/>
    <w:rsid w:val="009745D7"/>
    <w:rsid w:val="00975D5B"/>
    <w:rsid w:val="00980672"/>
    <w:rsid w:val="0098401A"/>
    <w:rsid w:val="009844B7"/>
    <w:rsid w:val="00984B61"/>
    <w:rsid w:val="00984D2B"/>
    <w:rsid w:val="009904FF"/>
    <w:rsid w:val="00992F6A"/>
    <w:rsid w:val="00997A6E"/>
    <w:rsid w:val="009A1697"/>
    <w:rsid w:val="009A47F1"/>
    <w:rsid w:val="009A502A"/>
    <w:rsid w:val="009A5B48"/>
    <w:rsid w:val="009B19EF"/>
    <w:rsid w:val="009B1AEB"/>
    <w:rsid w:val="009B1FCC"/>
    <w:rsid w:val="009B2B0B"/>
    <w:rsid w:val="009B44FD"/>
    <w:rsid w:val="009B6FC8"/>
    <w:rsid w:val="009C1B7C"/>
    <w:rsid w:val="009C51E2"/>
    <w:rsid w:val="009D0E8E"/>
    <w:rsid w:val="009D21C3"/>
    <w:rsid w:val="009D21E9"/>
    <w:rsid w:val="009D3EA5"/>
    <w:rsid w:val="009D453D"/>
    <w:rsid w:val="009D5708"/>
    <w:rsid w:val="009E430C"/>
    <w:rsid w:val="009E7C37"/>
    <w:rsid w:val="009F2A09"/>
    <w:rsid w:val="009F2A32"/>
    <w:rsid w:val="009F3B66"/>
    <w:rsid w:val="009F67A8"/>
    <w:rsid w:val="00A00F70"/>
    <w:rsid w:val="00A0250E"/>
    <w:rsid w:val="00A02DB6"/>
    <w:rsid w:val="00A063EE"/>
    <w:rsid w:val="00A07476"/>
    <w:rsid w:val="00A07B55"/>
    <w:rsid w:val="00A17B15"/>
    <w:rsid w:val="00A20E93"/>
    <w:rsid w:val="00A219DC"/>
    <w:rsid w:val="00A30AB2"/>
    <w:rsid w:val="00A311A7"/>
    <w:rsid w:val="00A31842"/>
    <w:rsid w:val="00A31D12"/>
    <w:rsid w:val="00A32F8D"/>
    <w:rsid w:val="00A3703A"/>
    <w:rsid w:val="00A37973"/>
    <w:rsid w:val="00A41AF0"/>
    <w:rsid w:val="00A45C6C"/>
    <w:rsid w:val="00A553C4"/>
    <w:rsid w:val="00A56564"/>
    <w:rsid w:val="00A609BD"/>
    <w:rsid w:val="00A631B7"/>
    <w:rsid w:val="00A662E1"/>
    <w:rsid w:val="00A71037"/>
    <w:rsid w:val="00A72B8B"/>
    <w:rsid w:val="00A82510"/>
    <w:rsid w:val="00A83CB2"/>
    <w:rsid w:val="00A87F7E"/>
    <w:rsid w:val="00A90999"/>
    <w:rsid w:val="00A913A8"/>
    <w:rsid w:val="00A9273E"/>
    <w:rsid w:val="00A937B4"/>
    <w:rsid w:val="00A941FD"/>
    <w:rsid w:val="00A9569E"/>
    <w:rsid w:val="00A96B61"/>
    <w:rsid w:val="00AA1414"/>
    <w:rsid w:val="00AA2BE9"/>
    <w:rsid w:val="00AA3A06"/>
    <w:rsid w:val="00AA563D"/>
    <w:rsid w:val="00AA7F6B"/>
    <w:rsid w:val="00AB1024"/>
    <w:rsid w:val="00AB300A"/>
    <w:rsid w:val="00AB3EB2"/>
    <w:rsid w:val="00AB401F"/>
    <w:rsid w:val="00AC191B"/>
    <w:rsid w:val="00AC20DD"/>
    <w:rsid w:val="00AC2AAC"/>
    <w:rsid w:val="00AC76D1"/>
    <w:rsid w:val="00AD06E4"/>
    <w:rsid w:val="00AD0F2F"/>
    <w:rsid w:val="00AD3546"/>
    <w:rsid w:val="00AD371C"/>
    <w:rsid w:val="00AD621D"/>
    <w:rsid w:val="00AE1449"/>
    <w:rsid w:val="00AE2808"/>
    <w:rsid w:val="00AE50EA"/>
    <w:rsid w:val="00AF10AB"/>
    <w:rsid w:val="00AF17BA"/>
    <w:rsid w:val="00AF2AB8"/>
    <w:rsid w:val="00AF56EE"/>
    <w:rsid w:val="00B010BC"/>
    <w:rsid w:val="00B0263C"/>
    <w:rsid w:val="00B04C8D"/>
    <w:rsid w:val="00B05E2E"/>
    <w:rsid w:val="00B0667B"/>
    <w:rsid w:val="00B07A3B"/>
    <w:rsid w:val="00B07F5D"/>
    <w:rsid w:val="00B163CA"/>
    <w:rsid w:val="00B16BBD"/>
    <w:rsid w:val="00B21327"/>
    <w:rsid w:val="00B21C77"/>
    <w:rsid w:val="00B32553"/>
    <w:rsid w:val="00B33043"/>
    <w:rsid w:val="00B4095F"/>
    <w:rsid w:val="00B42488"/>
    <w:rsid w:val="00B44BC9"/>
    <w:rsid w:val="00B46010"/>
    <w:rsid w:val="00B46987"/>
    <w:rsid w:val="00B469F3"/>
    <w:rsid w:val="00B46B5C"/>
    <w:rsid w:val="00B47064"/>
    <w:rsid w:val="00B502EE"/>
    <w:rsid w:val="00B512EF"/>
    <w:rsid w:val="00B522E9"/>
    <w:rsid w:val="00B52A01"/>
    <w:rsid w:val="00B538C9"/>
    <w:rsid w:val="00B54CF2"/>
    <w:rsid w:val="00B556C6"/>
    <w:rsid w:val="00B55958"/>
    <w:rsid w:val="00B63417"/>
    <w:rsid w:val="00B66CFE"/>
    <w:rsid w:val="00B67734"/>
    <w:rsid w:val="00B72043"/>
    <w:rsid w:val="00B77705"/>
    <w:rsid w:val="00B86A94"/>
    <w:rsid w:val="00B91B6A"/>
    <w:rsid w:val="00B91FE6"/>
    <w:rsid w:val="00BA57D1"/>
    <w:rsid w:val="00BA61F1"/>
    <w:rsid w:val="00BB0F0F"/>
    <w:rsid w:val="00BB5CB3"/>
    <w:rsid w:val="00BC52A2"/>
    <w:rsid w:val="00BC56DF"/>
    <w:rsid w:val="00BD481B"/>
    <w:rsid w:val="00BD4B2E"/>
    <w:rsid w:val="00BE305E"/>
    <w:rsid w:val="00BE7876"/>
    <w:rsid w:val="00BF69A8"/>
    <w:rsid w:val="00C0181C"/>
    <w:rsid w:val="00C01CAE"/>
    <w:rsid w:val="00C0516F"/>
    <w:rsid w:val="00C06999"/>
    <w:rsid w:val="00C145EF"/>
    <w:rsid w:val="00C160F4"/>
    <w:rsid w:val="00C202CA"/>
    <w:rsid w:val="00C257A1"/>
    <w:rsid w:val="00C27EA9"/>
    <w:rsid w:val="00C32335"/>
    <w:rsid w:val="00C33880"/>
    <w:rsid w:val="00C34D12"/>
    <w:rsid w:val="00C34DAA"/>
    <w:rsid w:val="00C35C2C"/>
    <w:rsid w:val="00C35D51"/>
    <w:rsid w:val="00C42A18"/>
    <w:rsid w:val="00C43588"/>
    <w:rsid w:val="00C60E3D"/>
    <w:rsid w:val="00C6158C"/>
    <w:rsid w:val="00C61940"/>
    <w:rsid w:val="00C6293F"/>
    <w:rsid w:val="00C62D0B"/>
    <w:rsid w:val="00C67253"/>
    <w:rsid w:val="00C70388"/>
    <w:rsid w:val="00C72AC7"/>
    <w:rsid w:val="00C833D3"/>
    <w:rsid w:val="00C83EF5"/>
    <w:rsid w:val="00C87513"/>
    <w:rsid w:val="00C9549E"/>
    <w:rsid w:val="00CA0609"/>
    <w:rsid w:val="00CA0DEB"/>
    <w:rsid w:val="00CA1309"/>
    <w:rsid w:val="00CA4A16"/>
    <w:rsid w:val="00CA52EF"/>
    <w:rsid w:val="00CA5819"/>
    <w:rsid w:val="00CA5D3A"/>
    <w:rsid w:val="00CB1500"/>
    <w:rsid w:val="00CB2B91"/>
    <w:rsid w:val="00CB3C8C"/>
    <w:rsid w:val="00CB668E"/>
    <w:rsid w:val="00CB7BAF"/>
    <w:rsid w:val="00CC01F8"/>
    <w:rsid w:val="00CC2DAD"/>
    <w:rsid w:val="00CC2EDE"/>
    <w:rsid w:val="00CC34DD"/>
    <w:rsid w:val="00CC3AE7"/>
    <w:rsid w:val="00CC3F4C"/>
    <w:rsid w:val="00CC72C3"/>
    <w:rsid w:val="00CD3E09"/>
    <w:rsid w:val="00CD4F38"/>
    <w:rsid w:val="00CD5368"/>
    <w:rsid w:val="00CD7927"/>
    <w:rsid w:val="00CE4331"/>
    <w:rsid w:val="00CE43EA"/>
    <w:rsid w:val="00D003FA"/>
    <w:rsid w:val="00D00FB0"/>
    <w:rsid w:val="00D027FD"/>
    <w:rsid w:val="00D04003"/>
    <w:rsid w:val="00D042F1"/>
    <w:rsid w:val="00D100FF"/>
    <w:rsid w:val="00D11FD1"/>
    <w:rsid w:val="00D130E1"/>
    <w:rsid w:val="00D14EFF"/>
    <w:rsid w:val="00D229C1"/>
    <w:rsid w:val="00D22B40"/>
    <w:rsid w:val="00D31997"/>
    <w:rsid w:val="00D31ECE"/>
    <w:rsid w:val="00D34AC7"/>
    <w:rsid w:val="00D35A59"/>
    <w:rsid w:val="00D41B59"/>
    <w:rsid w:val="00D4441D"/>
    <w:rsid w:val="00D44823"/>
    <w:rsid w:val="00D465E3"/>
    <w:rsid w:val="00D55750"/>
    <w:rsid w:val="00D56B4F"/>
    <w:rsid w:val="00D61995"/>
    <w:rsid w:val="00D6347A"/>
    <w:rsid w:val="00D64915"/>
    <w:rsid w:val="00D67F67"/>
    <w:rsid w:val="00D70DF7"/>
    <w:rsid w:val="00D70FAC"/>
    <w:rsid w:val="00D71052"/>
    <w:rsid w:val="00D826E6"/>
    <w:rsid w:val="00D868FB"/>
    <w:rsid w:val="00D87127"/>
    <w:rsid w:val="00D928B7"/>
    <w:rsid w:val="00D9474E"/>
    <w:rsid w:val="00D9501B"/>
    <w:rsid w:val="00DA0FEA"/>
    <w:rsid w:val="00DA15FC"/>
    <w:rsid w:val="00DA1700"/>
    <w:rsid w:val="00DB57C7"/>
    <w:rsid w:val="00DB7873"/>
    <w:rsid w:val="00DC0F08"/>
    <w:rsid w:val="00DC1C53"/>
    <w:rsid w:val="00DC3374"/>
    <w:rsid w:val="00DC35BA"/>
    <w:rsid w:val="00DC4A7B"/>
    <w:rsid w:val="00DC74B3"/>
    <w:rsid w:val="00DD013B"/>
    <w:rsid w:val="00DD4290"/>
    <w:rsid w:val="00DE0023"/>
    <w:rsid w:val="00DE2E95"/>
    <w:rsid w:val="00DE4468"/>
    <w:rsid w:val="00DE653B"/>
    <w:rsid w:val="00DF00E8"/>
    <w:rsid w:val="00DF0A63"/>
    <w:rsid w:val="00DF3D54"/>
    <w:rsid w:val="00DF4D27"/>
    <w:rsid w:val="00DF6029"/>
    <w:rsid w:val="00DF6EB6"/>
    <w:rsid w:val="00E0088D"/>
    <w:rsid w:val="00E044E5"/>
    <w:rsid w:val="00E04E59"/>
    <w:rsid w:val="00E0696A"/>
    <w:rsid w:val="00E07F71"/>
    <w:rsid w:val="00E10304"/>
    <w:rsid w:val="00E10F88"/>
    <w:rsid w:val="00E1335D"/>
    <w:rsid w:val="00E1622F"/>
    <w:rsid w:val="00E17DCF"/>
    <w:rsid w:val="00E24D6B"/>
    <w:rsid w:val="00E25100"/>
    <w:rsid w:val="00E25904"/>
    <w:rsid w:val="00E26A79"/>
    <w:rsid w:val="00E32BAE"/>
    <w:rsid w:val="00E343D2"/>
    <w:rsid w:val="00E37344"/>
    <w:rsid w:val="00E402B3"/>
    <w:rsid w:val="00E40789"/>
    <w:rsid w:val="00E41B3B"/>
    <w:rsid w:val="00E437FE"/>
    <w:rsid w:val="00E51E9B"/>
    <w:rsid w:val="00E5439A"/>
    <w:rsid w:val="00E546EF"/>
    <w:rsid w:val="00E55C29"/>
    <w:rsid w:val="00E56F06"/>
    <w:rsid w:val="00E62FCB"/>
    <w:rsid w:val="00E64F20"/>
    <w:rsid w:val="00E65C68"/>
    <w:rsid w:val="00E6714B"/>
    <w:rsid w:val="00E67EEF"/>
    <w:rsid w:val="00E704C3"/>
    <w:rsid w:val="00E7134B"/>
    <w:rsid w:val="00E75E5E"/>
    <w:rsid w:val="00E77137"/>
    <w:rsid w:val="00E82C59"/>
    <w:rsid w:val="00E84654"/>
    <w:rsid w:val="00E854A8"/>
    <w:rsid w:val="00E8597E"/>
    <w:rsid w:val="00E871B5"/>
    <w:rsid w:val="00E87A3A"/>
    <w:rsid w:val="00E907D8"/>
    <w:rsid w:val="00E90A7E"/>
    <w:rsid w:val="00E90AD0"/>
    <w:rsid w:val="00E93F13"/>
    <w:rsid w:val="00E9646B"/>
    <w:rsid w:val="00EA1B63"/>
    <w:rsid w:val="00EA5D6C"/>
    <w:rsid w:val="00EA70E0"/>
    <w:rsid w:val="00EB02C1"/>
    <w:rsid w:val="00EB0E74"/>
    <w:rsid w:val="00EB1B9F"/>
    <w:rsid w:val="00EB2784"/>
    <w:rsid w:val="00EB47FE"/>
    <w:rsid w:val="00EB578F"/>
    <w:rsid w:val="00ED1186"/>
    <w:rsid w:val="00ED1F45"/>
    <w:rsid w:val="00ED2A58"/>
    <w:rsid w:val="00ED4729"/>
    <w:rsid w:val="00ED6744"/>
    <w:rsid w:val="00ED7498"/>
    <w:rsid w:val="00EE19FB"/>
    <w:rsid w:val="00EF125B"/>
    <w:rsid w:val="00EF267B"/>
    <w:rsid w:val="00EF7446"/>
    <w:rsid w:val="00F00542"/>
    <w:rsid w:val="00F0772D"/>
    <w:rsid w:val="00F12484"/>
    <w:rsid w:val="00F1354F"/>
    <w:rsid w:val="00F13632"/>
    <w:rsid w:val="00F138EA"/>
    <w:rsid w:val="00F1758B"/>
    <w:rsid w:val="00F177C3"/>
    <w:rsid w:val="00F17913"/>
    <w:rsid w:val="00F31CC3"/>
    <w:rsid w:val="00F3741C"/>
    <w:rsid w:val="00F4265A"/>
    <w:rsid w:val="00F44D56"/>
    <w:rsid w:val="00F45E79"/>
    <w:rsid w:val="00F47513"/>
    <w:rsid w:val="00F479C3"/>
    <w:rsid w:val="00F5161A"/>
    <w:rsid w:val="00F52583"/>
    <w:rsid w:val="00F53029"/>
    <w:rsid w:val="00F55593"/>
    <w:rsid w:val="00F575BE"/>
    <w:rsid w:val="00F611AB"/>
    <w:rsid w:val="00F668F1"/>
    <w:rsid w:val="00F66D9A"/>
    <w:rsid w:val="00F72974"/>
    <w:rsid w:val="00F73603"/>
    <w:rsid w:val="00F761D4"/>
    <w:rsid w:val="00F77091"/>
    <w:rsid w:val="00F8035D"/>
    <w:rsid w:val="00F81278"/>
    <w:rsid w:val="00F83EBE"/>
    <w:rsid w:val="00F83F5D"/>
    <w:rsid w:val="00F85D05"/>
    <w:rsid w:val="00F865B0"/>
    <w:rsid w:val="00F9113C"/>
    <w:rsid w:val="00F91425"/>
    <w:rsid w:val="00F93215"/>
    <w:rsid w:val="00F94B32"/>
    <w:rsid w:val="00FA31E5"/>
    <w:rsid w:val="00FA5561"/>
    <w:rsid w:val="00FB0B65"/>
    <w:rsid w:val="00FB0C67"/>
    <w:rsid w:val="00FB1851"/>
    <w:rsid w:val="00FB5E5C"/>
    <w:rsid w:val="00FB76EF"/>
    <w:rsid w:val="00FC4087"/>
    <w:rsid w:val="00FD27E1"/>
    <w:rsid w:val="00FD4E21"/>
    <w:rsid w:val="00FD5DB5"/>
    <w:rsid w:val="00FE196C"/>
    <w:rsid w:val="00FE43A8"/>
    <w:rsid w:val="00FF1295"/>
    <w:rsid w:val="00FF652E"/>
    <w:rsid w:val="28379EF0"/>
    <w:rsid w:val="2F85BF1A"/>
    <w:rsid w:val="42C50F73"/>
    <w:rsid w:val="4E03F48D"/>
    <w:rsid w:val="56E1E685"/>
    <w:rsid w:val="5FDB0479"/>
    <w:rsid w:val="6A68EB3C"/>
    <w:rsid w:val="6C8D8489"/>
    <w:rsid w:val="70B579A9"/>
    <w:rsid w:val="774D1415"/>
    <w:rsid w:val="7E0B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A68B"/>
  <w15:docId w15:val="{53015ED1-4608-4A09-9657-1A4C425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A4"/>
    <w:pPr>
      <w:spacing w:before="320" w:after="320" w:line="320" w:lineRule="exact"/>
    </w:pPr>
  </w:style>
  <w:style w:type="paragraph" w:styleId="Heading1">
    <w:name w:val="heading 1"/>
    <w:basedOn w:val="Normal"/>
    <w:next w:val="Normal"/>
    <w:link w:val="Heading1Char"/>
    <w:uiPriority w:val="9"/>
    <w:qFormat/>
    <w:rsid w:val="004448A4"/>
    <w:pPr>
      <w:keepNext/>
      <w:keepLines/>
      <w:pageBreakBefore/>
      <w:spacing w:before="480" w:line="240" w:lineRule="auto"/>
      <w:outlineLvl w:val="0"/>
    </w:pPr>
    <w:rPr>
      <w:rFonts w:asciiTheme="majorHAnsi" w:eastAsiaTheme="majorEastAsia" w:hAnsiTheme="majorHAnsi" w:cstheme="majorBidi"/>
      <w:bCs/>
      <w:color w:val="003479" w:themeColor="text2"/>
      <w:sz w:val="36"/>
      <w:szCs w:val="28"/>
    </w:rPr>
  </w:style>
  <w:style w:type="paragraph" w:styleId="Heading2">
    <w:name w:val="heading 2"/>
    <w:next w:val="Normal"/>
    <w:link w:val="Heading2Char"/>
    <w:uiPriority w:val="9"/>
    <w:unhideWhenUsed/>
    <w:qFormat/>
    <w:rsid w:val="00F45E79"/>
    <w:pPr>
      <w:keepNext/>
      <w:keepLines/>
      <w:spacing w:before="200"/>
      <w:outlineLvl w:val="1"/>
    </w:pPr>
    <w:rPr>
      <w:rFonts w:asciiTheme="majorHAnsi" w:eastAsiaTheme="majorEastAsia" w:hAnsiTheme="majorHAnsi" w:cstheme="majorBidi"/>
      <w:bCs/>
      <w:noProof/>
      <w:color w:val="003479" w:themeColor="text2"/>
      <w:sz w:val="32"/>
      <w:szCs w:val="26"/>
    </w:rPr>
  </w:style>
  <w:style w:type="paragraph" w:styleId="Heading3">
    <w:name w:val="heading 3"/>
    <w:basedOn w:val="Normal"/>
    <w:next w:val="Normal"/>
    <w:link w:val="Heading3Char"/>
    <w:uiPriority w:val="9"/>
    <w:unhideWhenUsed/>
    <w:qFormat/>
    <w:rsid w:val="00771112"/>
    <w:pPr>
      <w:keepNext/>
      <w:keepLines/>
      <w:spacing w:before="220" w:after="220"/>
      <w:outlineLvl w:val="2"/>
    </w:pPr>
    <w:rPr>
      <w:rFonts w:asciiTheme="majorHAnsi" w:eastAsiaTheme="majorEastAsia" w:hAnsiTheme="majorHAnsi" w:cstheme="majorBidi"/>
      <w:bCs/>
      <w:color w:val="003479" w:themeColor="text2"/>
      <w:sz w:val="26"/>
    </w:rPr>
  </w:style>
  <w:style w:type="paragraph" w:styleId="Heading4">
    <w:name w:val="heading 4"/>
    <w:basedOn w:val="Normal"/>
    <w:next w:val="Normal"/>
    <w:link w:val="Heading4Char"/>
    <w:uiPriority w:val="9"/>
    <w:unhideWhenUsed/>
    <w:qFormat/>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8A4"/>
    <w:rPr>
      <w:rFonts w:asciiTheme="majorHAnsi" w:eastAsiaTheme="majorEastAsia" w:hAnsiTheme="majorHAnsi" w:cstheme="majorBidi"/>
      <w:bCs/>
      <w:color w:val="003479" w:themeColor="text2"/>
      <w:sz w:val="36"/>
      <w:szCs w:val="28"/>
    </w:rPr>
  </w:style>
  <w:style w:type="character" w:customStyle="1" w:styleId="Heading2Char">
    <w:name w:val="Heading 2 Char"/>
    <w:basedOn w:val="DefaultParagraphFont"/>
    <w:link w:val="Heading2"/>
    <w:uiPriority w:val="9"/>
    <w:rsid w:val="003E0951"/>
    <w:rPr>
      <w:rFonts w:asciiTheme="majorHAnsi" w:eastAsiaTheme="majorEastAsia" w:hAnsiTheme="majorHAnsi" w:cstheme="majorBidi"/>
      <w:bCs/>
      <w:noProof/>
      <w:color w:val="003479" w:themeColor="text2"/>
      <w:sz w:val="32"/>
      <w:szCs w:val="26"/>
    </w:rPr>
  </w:style>
  <w:style w:type="character" w:customStyle="1" w:styleId="Heading3Char">
    <w:name w:val="Heading 3 Char"/>
    <w:basedOn w:val="DefaultParagraphFont"/>
    <w:link w:val="Heading3"/>
    <w:uiPriority w:val="9"/>
    <w:rsid w:val="00771112"/>
    <w:rPr>
      <w:rFonts w:asciiTheme="majorHAnsi" w:eastAsiaTheme="majorEastAsia" w:hAnsiTheme="majorHAnsi" w:cstheme="majorBidi"/>
      <w:bCs/>
      <w:color w:val="003479" w:themeColor="text2"/>
      <w:sz w:val="26"/>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Normal"/>
    <w:link w:val="HeaderChar"/>
    <w:uiPriority w:val="99"/>
    <w:unhideWhenUsed/>
    <w:rsid w:val="0062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6C"/>
  </w:style>
  <w:style w:type="paragraph" w:styleId="Footer">
    <w:name w:val="footer"/>
    <w:basedOn w:val="Normal"/>
    <w:link w:val="FooterChar"/>
    <w:uiPriority w:val="99"/>
    <w:unhideWhenUsed/>
    <w:rsid w:val="0062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6C"/>
  </w:style>
  <w:style w:type="paragraph" w:customStyle="1" w:styleId="Timeandvenue">
    <w:name w:val="Time and venue"/>
    <w:basedOn w:val="Normal"/>
    <w:link w:val="TimeandvenueChar"/>
    <w:rsid w:val="0062386C"/>
    <w:pPr>
      <w:contextualSpacing/>
      <w:jc w:val="right"/>
    </w:pPr>
    <w:rPr>
      <w:rFonts w:ascii="Arial Rounded MT Bold" w:hAnsi="Arial Rounded MT Bold"/>
      <w:color w:val="0078C9" w:themeColor="accent1"/>
    </w:rPr>
  </w:style>
  <w:style w:type="table" w:styleId="TableGrid">
    <w:name w:val="Table Grid"/>
    <w:basedOn w:val="TableNormal"/>
    <w:uiPriority w:val="3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62386C"/>
    <w:rPr>
      <w:rFonts w:ascii="Arial Rounded MT Bold" w:hAnsi="Arial Rounded MT Bold"/>
      <w:color w:val="0078C9" w:themeColor="accent1"/>
    </w:rPr>
  </w:style>
  <w:style w:type="paragraph" w:customStyle="1" w:styleId="Footertext">
    <w:name w:val="Footer text"/>
    <w:basedOn w:val="Footer"/>
    <w:link w:val="FootertextChar"/>
    <w:qFormat/>
    <w:rsid w:val="00771412"/>
    <w:rPr>
      <w:rFonts w:ascii="Arial Rounded MT Bold" w:hAnsi="Arial Rounded MT Bold"/>
      <w:color w:val="002664"/>
      <w:sz w:val="20"/>
      <w:szCs w:val="20"/>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Text"/>
    <w:uiPriority w:val="34"/>
    <w:qFormat/>
    <w:rsid w:val="003E0951"/>
    <w:pPr>
      <w:numPr>
        <w:numId w:val="1"/>
      </w:numPr>
    </w:p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761D4"/>
    <w:pPr>
      <w:pageBreakBefore w:val="0"/>
    </w:pPr>
  </w:style>
  <w:style w:type="character" w:customStyle="1" w:styleId="TitleChar">
    <w:name w:val="Title Char"/>
    <w:basedOn w:val="DefaultParagraphFont"/>
    <w:link w:val="Title"/>
    <w:uiPriority w:val="10"/>
    <w:rsid w:val="00F761D4"/>
    <w:rPr>
      <w:rFonts w:asciiTheme="majorHAnsi" w:eastAsiaTheme="majorEastAsia" w:hAnsiTheme="majorHAnsi" w:cstheme="majorBidi"/>
      <w:bCs/>
      <w:color w:val="0078C9" w:themeColor="accent1"/>
      <w:sz w:val="32"/>
      <w:szCs w:val="28"/>
    </w:rPr>
  </w:style>
  <w:style w:type="character" w:styleId="Strong">
    <w:name w:val="Strong"/>
    <w:uiPriority w:val="22"/>
    <w:qFormat/>
    <w:rsid w:val="00F45E79"/>
    <w:rPr>
      <w:rFonts w:asciiTheme="majorHAnsi" w:hAnsiTheme="majorHAnsi"/>
      <w:noProof/>
      <w:color w:val="003479" w:themeColor="text2"/>
      <w:sz w:val="24"/>
    </w:rPr>
  </w:style>
  <w:style w:type="paragraph" w:customStyle="1" w:styleId="Headertitle">
    <w:name w:val="Header title"/>
    <w:basedOn w:val="Header"/>
    <w:link w:val="HeadertitleChar"/>
    <w:qFormat/>
    <w:rsid w:val="00B54CF2"/>
    <w:pPr>
      <w:jc w:val="right"/>
    </w:pPr>
    <w:rPr>
      <w:rFonts w:ascii="Arial Rounded MT Bold" w:hAnsi="Arial Rounded MT Bold"/>
      <w:color w:val="0078C9" w:themeColor="accent1"/>
    </w:rPr>
  </w:style>
  <w:style w:type="paragraph" w:customStyle="1" w:styleId="Headerdate">
    <w:name w:val="Header date"/>
    <w:basedOn w:val="Header"/>
    <w:link w:val="HeaderdateChar"/>
    <w:qFormat/>
    <w:rsid w:val="00B54CF2"/>
    <w:pPr>
      <w:pBdr>
        <w:bottom w:val="single" w:sz="8" w:space="4" w:color="CA0083" w:themeColor="accent5"/>
      </w:pBdr>
      <w:spacing w:before="0" w:after="320"/>
      <w:jc w:val="right"/>
    </w:pPr>
    <w:rPr>
      <w:rFonts w:ascii="Arial Rounded MT Bold" w:hAnsi="Arial Rounded MT Bold"/>
      <w:color w:val="CA0083" w:themeColor="accent5"/>
    </w:rPr>
  </w:style>
  <w:style w:type="character" w:customStyle="1" w:styleId="HeadertitleChar">
    <w:name w:val="Header title Char"/>
    <w:basedOn w:val="HeaderChar"/>
    <w:link w:val="Headertitle"/>
    <w:rsid w:val="00B54CF2"/>
    <w:rPr>
      <w:rFonts w:ascii="Arial Rounded MT Bold" w:hAnsi="Arial Rounded MT Bold"/>
      <w:color w:val="0078C9" w:themeColor="accent1"/>
    </w:rPr>
  </w:style>
  <w:style w:type="paragraph" w:customStyle="1" w:styleId="Coverpageheading2">
    <w:name w:val="Cover page heading 2"/>
    <w:link w:val="Coverpageheading2Char"/>
    <w:qFormat/>
    <w:rsid w:val="00897138"/>
    <w:pPr>
      <w:pBdr>
        <w:top w:val="single" w:sz="8" w:space="4" w:color="E6E9B4"/>
        <w:left w:val="single" w:sz="8" w:space="4" w:color="E6E9B4"/>
        <w:bottom w:val="single" w:sz="8" w:space="4" w:color="E6E9B4"/>
        <w:right w:val="single" w:sz="8" w:space="4" w:color="E6E9B4"/>
      </w:pBdr>
      <w:shd w:val="clear" w:color="auto" w:fill="E6E9B4"/>
      <w:spacing w:after="0"/>
    </w:pPr>
    <w:rPr>
      <w:rFonts w:asciiTheme="majorHAnsi" w:eastAsiaTheme="majorEastAsia" w:hAnsiTheme="majorHAnsi" w:cstheme="majorBidi"/>
      <w:bCs/>
      <w:noProof/>
      <w:color w:val="857362" w:themeColor="accent2"/>
      <w:sz w:val="28"/>
      <w:szCs w:val="26"/>
    </w:rPr>
  </w:style>
  <w:style w:type="character" w:customStyle="1" w:styleId="HeaderdateChar">
    <w:name w:val="Header date Char"/>
    <w:basedOn w:val="HeaderChar"/>
    <w:link w:val="Headerdate"/>
    <w:rsid w:val="00B54CF2"/>
    <w:rPr>
      <w:rFonts w:ascii="Arial Rounded MT Bold" w:hAnsi="Arial Rounded MT Bold"/>
      <w:color w:val="CA0083" w:themeColor="accent5"/>
    </w:rPr>
  </w:style>
  <w:style w:type="character" w:styleId="Emphasis">
    <w:name w:val="Emphasis"/>
    <w:basedOn w:val="DefaultParagraphFont"/>
    <w:uiPriority w:val="20"/>
    <w:qFormat/>
    <w:rsid w:val="00B54CF2"/>
    <w:rPr>
      <w:rFonts w:ascii="Arial Rounded MT Bold" w:hAnsi="Arial Rounded MT Bold"/>
      <w:i w:val="0"/>
      <w:iCs/>
      <w:color w:val="0078C9" w:themeColor="accent1"/>
    </w:rPr>
  </w:style>
  <w:style w:type="character" w:customStyle="1" w:styleId="Coverpageheading2Char">
    <w:name w:val="Cover page heading 2 Char"/>
    <w:basedOn w:val="Heading2Char"/>
    <w:link w:val="Coverpageheading2"/>
    <w:rsid w:val="00897138"/>
    <w:rPr>
      <w:rFonts w:asciiTheme="majorHAnsi" w:eastAsiaTheme="majorEastAsia" w:hAnsiTheme="majorHAnsi" w:cstheme="majorBidi"/>
      <w:bCs/>
      <w:noProof/>
      <w:color w:val="857362" w:themeColor="accent2"/>
      <w:sz w:val="28"/>
      <w:szCs w:val="26"/>
      <w:shd w:val="clear" w:color="auto" w:fill="E6E9B4"/>
    </w:rPr>
  </w:style>
  <w:style w:type="character" w:styleId="SubtleEmphasis">
    <w:name w:val="Subtle Emphasis"/>
    <w:basedOn w:val="Emphasis"/>
    <w:uiPriority w:val="19"/>
    <w:qFormat/>
    <w:rsid w:val="00B54CF2"/>
    <w:rPr>
      <w:rFonts w:ascii="Arial Rounded MT Bold" w:hAnsi="Arial Rounded MT Bold"/>
      <w:i w:val="0"/>
      <w:iCs/>
      <w:color w:val="857362" w:themeColor="accent2"/>
    </w:rPr>
  </w:style>
  <w:style w:type="paragraph" w:styleId="Subtitle">
    <w:name w:val="Subtitle"/>
    <w:basedOn w:val="Normal"/>
    <w:next w:val="Normal"/>
    <w:link w:val="SubtitleChar"/>
    <w:uiPriority w:val="11"/>
    <w:rsid w:val="00E546EF"/>
    <w:pPr>
      <w:numPr>
        <w:ilvl w:val="1"/>
      </w:numPr>
    </w:pPr>
    <w:rPr>
      <w:rFonts w:asciiTheme="majorHAnsi" w:eastAsiaTheme="majorEastAsia" w:hAnsiTheme="majorHAnsi" w:cstheme="majorBidi"/>
      <w:iCs/>
      <w:color w:val="0078C9" w:themeColor="accent1"/>
      <w:spacing w:val="15"/>
      <w:szCs w:val="24"/>
    </w:rPr>
  </w:style>
  <w:style w:type="character" w:customStyle="1" w:styleId="SubtitleChar">
    <w:name w:val="Subtitle Char"/>
    <w:basedOn w:val="DefaultParagraphFont"/>
    <w:link w:val="Subtitle"/>
    <w:uiPriority w:val="11"/>
    <w:rsid w:val="00E546EF"/>
    <w:rPr>
      <w:rFonts w:asciiTheme="majorHAnsi" w:eastAsiaTheme="majorEastAsia" w:hAnsiTheme="majorHAnsi" w:cstheme="majorBidi"/>
      <w:iCs/>
      <w:color w:val="0078C9" w:themeColor="accent1"/>
      <w:spacing w:val="15"/>
      <w:szCs w:val="24"/>
    </w:rPr>
  </w:style>
  <w:style w:type="paragraph" w:customStyle="1" w:styleId="Text">
    <w:name w:val="Text"/>
    <w:basedOn w:val="Normal"/>
    <w:link w:val="TextChar"/>
    <w:qFormat/>
    <w:rsid w:val="003E0951"/>
    <w:pPr>
      <w:spacing w:before="200" w:after="200" w:line="280" w:lineRule="exact"/>
    </w:pPr>
    <w:rPr>
      <w:noProof/>
      <w:sz w:val="22"/>
    </w:rPr>
  </w:style>
  <w:style w:type="paragraph" w:customStyle="1" w:styleId="Companyname">
    <w:name w:val="Company name"/>
    <w:basedOn w:val="Header"/>
    <w:link w:val="CompanynameChar"/>
    <w:qFormat/>
    <w:rsid w:val="00007BDD"/>
    <w:rPr>
      <w:rFonts w:asciiTheme="majorHAnsi" w:hAnsiTheme="majorHAnsi"/>
      <w:color w:val="003479" w:themeColor="text2"/>
      <w:sz w:val="36"/>
    </w:rPr>
  </w:style>
  <w:style w:type="character" w:customStyle="1" w:styleId="TextChar">
    <w:name w:val="Text Char"/>
    <w:basedOn w:val="DefaultParagraphFont"/>
    <w:link w:val="Text"/>
    <w:rsid w:val="003E0951"/>
    <w:rPr>
      <w:noProof/>
      <w:sz w:val="22"/>
    </w:rPr>
  </w:style>
  <w:style w:type="paragraph" w:customStyle="1" w:styleId="Meetingdetails">
    <w:name w:val="Meeting details"/>
    <w:basedOn w:val="Header"/>
    <w:link w:val="MeetingdetailsChar"/>
    <w:qFormat/>
    <w:rsid w:val="00641993"/>
    <w:pPr>
      <w:tabs>
        <w:tab w:val="clear" w:pos="4513"/>
        <w:tab w:val="center" w:pos="4253"/>
      </w:tabs>
      <w:spacing w:after="320"/>
    </w:pPr>
    <w:rPr>
      <w:rFonts w:ascii="Arial Rounded MT Bold" w:hAnsi="Arial Rounded MT Bold"/>
      <w:color w:val="CA0083" w:themeColor="accent5"/>
    </w:rPr>
  </w:style>
  <w:style w:type="character" w:customStyle="1" w:styleId="CompanynameChar">
    <w:name w:val="Company name Char"/>
    <w:basedOn w:val="HeaderChar"/>
    <w:link w:val="Companyname"/>
    <w:rsid w:val="00007BDD"/>
    <w:rPr>
      <w:rFonts w:asciiTheme="majorHAnsi" w:hAnsiTheme="majorHAnsi"/>
      <w:color w:val="003479" w:themeColor="text2"/>
      <w:sz w:val="36"/>
    </w:rPr>
  </w:style>
  <w:style w:type="character" w:customStyle="1" w:styleId="MeetingdetailsChar">
    <w:name w:val="Meeting details Char"/>
    <w:basedOn w:val="HeaderChar"/>
    <w:link w:val="Meetingdetails"/>
    <w:rsid w:val="00641993"/>
    <w:rPr>
      <w:rFonts w:ascii="Arial Rounded MT Bold" w:hAnsi="Arial Rounded MT Bold"/>
      <w:color w:val="CA0083" w:themeColor="accent5"/>
    </w:rPr>
  </w:style>
  <w:style w:type="table" w:styleId="LightList-Accent2">
    <w:name w:val="Light List Accent 2"/>
    <w:basedOn w:val="TableNormal"/>
    <w:uiPriority w:val="61"/>
    <w:rsid w:val="00182DBD"/>
    <w:pPr>
      <w:spacing w:after="0" w:line="240" w:lineRule="auto"/>
    </w:pPr>
    <w:tblPr>
      <w:tblStyleRowBandSize w:val="1"/>
      <w:tblStyleColBandSize w:val="1"/>
      <w:tblBorders>
        <w:top w:val="single" w:sz="8" w:space="0" w:color="857362" w:themeColor="accent2"/>
        <w:left w:val="single" w:sz="8" w:space="0" w:color="857362" w:themeColor="accent2"/>
        <w:bottom w:val="single" w:sz="8" w:space="0" w:color="857362" w:themeColor="accent2"/>
        <w:right w:val="single" w:sz="8" w:space="0" w:color="857362" w:themeColor="accent2"/>
      </w:tblBorders>
    </w:tblPr>
    <w:tblStylePr w:type="firstRow">
      <w:pPr>
        <w:spacing w:before="0" w:after="0" w:line="240" w:lineRule="auto"/>
      </w:pPr>
      <w:rPr>
        <w:b/>
        <w:bCs/>
        <w:color w:val="FFFFFF" w:themeColor="background1"/>
      </w:rPr>
      <w:tblPr/>
      <w:tcPr>
        <w:shd w:val="clear" w:color="auto" w:fill="857362" w:themeFill="accent2"/>
      </w:tcPr>
    </w:tblStylePr>
    <w:tblStylePr w:type="lastRow">
      <w:pPr>
        <w:spacing w:before="0" w:after="0" w:line="240" w:lineRule="auto"/>
      </w:pPr>
      <w:rPr>
        <w:b/>
        <w:bCs/>
      </w:rPr>
      <w:tblPr/>
      <w:tcPr>
        <w:tcBorders>
          <w:top w:val="double" w:sz="6" w:space="0" w:color="857362" w:themeColor="accent2"/>
          <w:left w:val="single" w:sz="8" w:space="0" w:color="857362" w:themeColor="accent2"/>
          <w:bottom w:val="single" w:sz="8" w:space="0" w:color="857362" w:themeColor="accent2"/>
          <w:right w:val="single" w:sz="8" w:space="0" w:color="857362" w:themeColor="accent2"/>
        </w:tcBorders>
      </w:tcPr>
    </w:tblStylePr>
    <w:tblStylePr w:type="firstCol">
      <w:rPr>
        <w:b/>
        <w:bCs/>
      </w:rPr>
    </w:tblStylePr>
    <w:tblStylePr w:type="lastCol">
      <w:rPr>
        <w:b/>
        <w:bCs/>
      </w:rPr>
    </w:tblStylePr>
    <w:tblStylePr w:type="band1Vert">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tblStylePr w:type="band1Horz">
      <w:tblPr/>
      <w:tcPr>
        <w:tcBorders>
          <w:top w:val="single" w:sz="8" w:space="0" w:color="857362" w:themeColor="accent2"/>
          <w:left w:val="single" w:sz="8" w:space="0" w:color="857362" w:themeColor="accent2"/>
          <w:bottom w:val="single" w:sz="8" w:space="0" w:color="857362" w:themeColor="accent2"/>
          <w:right w:val="single" w:sz="8" w:space="0" w:color="857362" w:themeColor="accent2"/>
        </w:tcBorders>
      </w:tcPr>
    </w:tblStylePr>
  </w:style>
  <w:style w:type="character" w:styleId="CommentReference">
    <w:name w:val="annotation reference"/>
    <w:basedOn w:val="DefaultParagraphFont"/>
    <w:uiPriority w:val="99"/>
    <w:semiHidden/>
    <w:unhideWhenUsed/>
    <w:rsid w:val="00E10F88"/>
    <w:rPr>
      <w:sz w:val="16"/>
      <w:szCs w:val="16"/>
    </w:rPr>
  </w:style>
  <w:style w:type="paragraph" w:styleId="CommentText">
    <w:name w:val="annotation text"/>
    <w:basedOn w:val="Normal"/>
    <w:link w:val="CommentTextChar"/>
    <w:uiPriority w:val="99"/>
    <w:unhideWhenUsed/>
    <w:rsid w:val="00E10F88"/>
    <w:pPr>
      <w:spacing w:line="240" w:lineRule="auto"/>
    </w:pPr>
    <w:rPr>
      <w:sz w:val="20"/>
      <w:szCs w:val="20"/>
    </w:rPr>
  </w:style>
  <w:style w:type="character" w:customStyle="1" w:styleId="CommentTextChar">
    <w:name w:val="Comment Text Char"/>
    <w:basedOn w:val="DefaultParagraphFont"/>
    <w:link w:val="CommentText"/>
    <w:uiPriority w:val="99"/>
    <w:rsid w:val="00E10F88"/>
    <w:rPr>
      <w:sz w:val="20"/>
      <w:szCs w:val="20"/>
    </w:rPr>
  </w:style>
  <w:style w:type="paragraph" w:styleId="BalloonText">
    <w:name w:val="Balloon Text"/>
    <w:basedOn w:val="Normal"/>
    <w:link w:val="BalloonTextChar"/>
    <w:uiPriority w:val="99"/>
    <w:semiHidden/>
    <w:unhideWhenUsed/>
    <w:rsid w:val="00E10F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2E95"/>
    <w:rPr>
      <w:b/>
      <w:bCs/>
    </w:rPr>
  </w:style>
  <w:style w:type="character" w:customStyle="1" w:styleId="CommentSubjectChar">
    <w:name w:val="Comment Subject Char"/>
    <w:basedOn w:val="CommentTextChar"/>
    <w:link w:val="CommentSubject"/>
    <w:uiPriority w:val="99"/>
    <w:semiHidden/>
    <w:rsid w:val="00DE2E95"/>
    <w:rPr>
      <w:b/>
      <w:bCs/>
      <w:sz w:val="20"/>
      <w:szCs w:val="20"/>
    </w:rPr>
  </w:style>
  <w:style w:type="paragraph" w:styleId="FootnoteText">
    <w:name w:val="footnote text"/>
    <w:basedOn w:val="Normal"/>
    <w:link w:val="FootnoteTextChar"/>
    <w:uiPriority w:val="99"/>
    <w:semiHidden/>
    <w:unhideWhenUsed/>
    <w:rsid w:val="00100D8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00D8C"/>
    <w:rPr>
      <w:sz w:val="20"/>
      <w:szCs w:val="20"/>
    </w:rPr>
  </w:style>
  <w:style w:type="character" w:styleId="FootnoteReference">
    <w:name w:val="footnote reference"/>
    <w:basedOn w:val="DefaultParagraphFont"/>
    <w:uiPriority w:val="99"/>
    <w:semiHidden/>
    <w:unhideWhenUsed/>
    <w:rsid w:val="00100D8C"/>
    <w:rPr>
      <w:vertAlign w:val="superscript"/>
    </w:rPr>
  </w:style>
  <w:style w:type="paragraph" w:styleId="EndnoteText">
    <w:name w:val="endnote text"/>
    <w:basedOn w:val="Normal"/>
    <w:link w:val="EndnoteTextChar"/>
    <w:uiPriority w:val="99"/>
    <w:semiHidden/>
    <w:unhideWhenUsed/>
    <w:rsid w:val="006E0B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E0B42"/>
    <w:rPr>
      <w:sz w:val="20"/>
      <w:szCs w:val="20"/>
    </w:rPr>
  </w:style>
  <w:style w:type="character" w:styleId="EndnoteReference">
    <w:name w:val="endnote reference"/>
    <w:basedOn w:val="DefaultParagraphFont"/>
    <w:uiPriority w:val="99"/>
    <w:semiHidden/>
    <w:unhideWhenUsed/>
    <w:rsid w:val="006E0B42"/>
    <w:rPr>
      <w:vertAlign w:val="superscript"/>
    </w:rPr>
  </w:style>
  <w:style w:type="paragraph" w:styleId="NoSpacing">
    <w:name w:val="No Spacing"/>
    <w:uiPriority w:val="1"/>
    <w:qFormat/>
    <w:rsid w:val="00000323"/>
    <w:pPr>
      <w:spacing w:after="0" w:line="240" w:lineRule="auto"/>
    </w:pPr>
  </w:style>
  <w:style w:type="paragraph" w:customStyle="1" w:styleId="Pa25">
    <w:name w:val="Pa25"/>
    <w:basedOn w:val="Normal"/>
    <w:next w:val="Normal"/>
    <w:uiPriority w:val="99"/>
    <w:rsid w:val="00AB3EB2"/>
    <w:pPr>
      <w:autoSpaceDE w:val="0"/>
      <w:autoSpaceDN w:val="0"/>
      <w:adjustRightInd w:val="0"/>
      <w:spacing w:before="0" w:after="0" w:line="181" w:lineRule="atLeast"/>
    </w:pPr>
    <w:rPr>
      <w:rFonts w:ascii="DIN" w:hAnsi="DIN"/>
      <w:szCs w:val="24"/>
    </w:rPr>
  </w:style>
  <w:style w:type="character" w:customStyle="1" w:styleId="A6">
    <w:name w:val="A6"/>
    <w:uiPriority w:val="99"/>
    <w:rsid w:val="00AB3EB2"/>
    <w:rPr>
      <w:rFonts w:cs="DIN"/>
      <w:b/>
      <w:bCs/>
      <w:color w:val="000000"/>
      <w:sz w:val="20"/>
      <w:szCs w:val="20"/>
    </w:rPr>
  </w:style>
  <w:style w:type="character" w:customStyle="1" w:styleId="A26">
    <w:name w:val="A26"/>
    <w:uiPriority w:val="99"/>
    <w:rsid w:val="00AB3EB2"/>
    <w:rPr>
      <w:rFonts w:cs="DIN"/>
      <w:color w:val="000000"/>
      <w:sz w:val="17"/>
      <w:szCs w:val="17"/>
    </w:rPr>
  </w:style>
  <w:style w:type="paragraph" w:customStyle="1" w:styleId="Pa50">
    <w:name w:val="Pa50"/>
    <w:basedOn w:val="Normal"/>
    <w:next w:val="Normal"/>
    <w:uiPriority w:val="99"/>
    <w:rsid w:val="00AB3EB2"/>
    <w:pPr>
      <w:autoSpaceDE w:val="0"/>
      <w:autoSpaceDN w:val="0"/>
      <w:adjustRightInd w:val="0"/>
      <w:spacing w:before="0" w:after="0" w:line="181" w:lineRule="atLeast"/>
    </w:pPr>
    <w:rPr>
      <w:rFonts w:ascii="DIN" w:hAnsi="DIN"/>
      <w:szCs w:val="24"/>
    </w:rPr>
  </w:style>
  <w:style w:type="paragraph" w:customStyle="1" w:styleId="Default">
    <w:name w:val="Default"/>
    <w:rsid w:val="00A9569E"/>
    <w:pPr>
      <w:autoSpaceDE w:val="0"/>
      <w:autoSpaceDN w:val="0"/>
      <w:adjustRightInd w:val="0"/>
      <w:spacing w:after="0" w:line="240" w:lineRule="auto"/>
    </w:pPr>
    <w:rPr>
      <w:rFonts w:ascii="Gill Sans MT" w:hAnsi="Gill Sans MT" w:cs="Gill Sans MT"/>
      <w:color w:val="000000"/>
      <w:szCs w:val="24"/>
    </w:rPr>
  </w:style>
  <w:style w:type="paragraph" w:customStyle="1" w:styleId="Pa8">
    <w:name w:val="Pa8"/>
    <w:basedOn w:val="Default"/>
    <w:next w:val="Default"/>
    <w:uiPriority w:val="99"/>
    <w:rsid w:val="00A9569E"/>
    <w:pPr>
      <w:spacing w:line="501" w:lineRule="atLeast"/>
    </w:pPr>
    <w:rPr>
      <w:rFonts w:cstheme="minorBidi"/>
      <w:color w:val="auto"/>
    </w:rPr>
  </w:style>
  <w:style w:type="paragraph" w:customStyle="1" w:styleId="Pa21">
    <w:name w:val="Pa21"/>
    <w:basedOn w:val="Default"/>
    <w:next w:val="Default"/>
    <w:uiPriority w:val="99"/>
    <w:rsid w:val="00A9569E"/>
    <w:pPr>
      <w:spacing w:line="221" w:lineRule="atLeast"/>
    </w:pPr>
    <w:rPr>
      <w:rFonts w:cstheme="minorBidi"/>
      <w:color w:val="auto"/>
    </w:rPr>
  </w:style>
  <w:style w:type="paragraph" w:customStyle="1" w:styleId="Pa59">
    <w:name w:val="Pa59"/>
    <w:basedOn w:val="Default"/>
    <w:next w:val="Default"/>
    <w:uiPriority w:val="99"/>
    <w:rsid w:val="00A9569E"/>
    <w:pPr>
      <w:spacing w:line="241" w:lineRule="atLeast"/>
    </w:pPr>
    <w:rPr>
      <w:rFonts w:cstheme="minorBidi"/>
      <w:color w:val="auto"/>
    </w:rPr>
  </w:style>
  <w:style w:type="character" w:customStyle="1" w:styleId="A42">
    <w:name w:val="A42"/>
    <w:uiPriority w:val="99"/>
    <w:rsid w:val="00A9569E"/>
    <w:rPr>
      <w:rFonts w:ascii="GillSans ExtraBold" w:hAnsi="GillSans ExtraBold" w:cs="GillSans ExtraBold"/>
      <w:b/>
      <w:bCs/>
      <w:color w:val="000000"/>
      <w:sz w:val="22"/>
      <w:szCs w:val="22"/>
    </w:rPr>
  </w:style>
  <w:style w:type="paragraph" w:customStyle="1" w:styleId="Pa0">
    <w:name w:val="Pa0"/>
    <w:basedOn w:val="Default"/>
    <w:next w:val="Default"/>
    <w:uiPriority w:val="99"/>
    <w:rsid w:val="00A9569E"/>
    <w:pPr>
      <w:spacing w:line="241" w:lineRule="atLeast"/>
    </w:pPr>
    <w:rPr>
      <w:rFonts w:cstheme="minorBidi"/>
      <w:color w:val="auto"/>
    </w:rPr>
  </w:style>
  <w:style w:type="character" w:customStyle="1" w:styleId="A44">
    <w:name w:val="A44"/>
    <w:uiPriority w:val="99"/>
    <w:rsid w:val="00A9569E"/>
    <w:rPr>
      <w:rFonts w:cs="Gill Sans MT"/>
      <w:b/>
      <w:bCs/>
      <w:color w:val="000000"/>
      <w:sz w:val="17"/>
      <w:szCs w:val="17"/>
    </w:rPr>
  </w:style>
  <w:style w:type="paragraph" w:customStyle="1" w:styleId="Pa26">
    <w:name w:val="Pa26"/>
    <w:basedOn w:val="Default"/>
    <w:next w:val="Default"/>
    <w:uiPriority w:val="99"/>
    <w:rsid w:val="00A9569E"/>
    <w:pPr>
      <w:spacing w:line="241" w:lineRule="atLeast"/>
    </w:pPr>
    <w:rPr>
      <w:rFonts w:cstheme="minorBidi"/>
      <w:color w:val="auto"/>
    </w:rPr>
  </w:style>
  <w:style w:type="character" w:customStyle="1" w:styleId="A43">
    <w:name w:val="A43"/>
    <w:uiPriority w:val="99"/>
    <w:rsid w:val="00A9569E"/>
    <w:rPr>
      <w:rFonts w:cs="Gill Sans MT"/>
      <w:color w:val="000000"/>
      <w:sz w:val="14"/>
      <w:szCs w:val="14"/>
    </w:rPr>
  </w:style>
  <w:style w:type="paragraph" w:customStyle="1" w:styleId="Pa6">
    <w:name w:val="Pa6"/>
    <w:basedOn w:val="Default"/>
    <w:next w:val="Default"/>
    <w:uiPriority w:val="99"/>
    <w:rsid w:val="00A9569E"/>
    <w:pPr>
      <w:spacing w:line="241" w:lineRule="atLeast"/>
    </w:pPr>
    <w:rPr>
      <w:rFonts w:cstheme="minorBidi"/>
      <w:color w:val="auto"/>
    </w:rPr>
  </w:style>
  <w:style w:type="paragraph" w:customStyle="1" w:styleId="Pa28">
    <w:name w:val="Pa28"/>
    <w:basedOn w:val="Default"/>
    <w:next w:val="Default"/>
    <w:uiPriority w:val="99"/>
    <w:rsid w:val="00A9569E"/>
    <w:pPr>
      <w:spacing w:line="181" w:lineRule="atLeast"/>
    </w:pPr>
    <w:rPr>
      <w:rFonts w:cstheme="minorBidi"/>
      <w:color w:val="auto"/>
    </w:rPr>
  </w:style>
  <w:style w:type="paragraph" w:customStyle="1" w:styleId="Pa17">
    <w:name w:val="Pa17"/>
    <w:basedOn w:val="Default"/>
    <w:next w:val="Default"/>
    <w:uiPriority w:val="99"/>
    <w:rsid w:val="00A9569E"/>
    <w:pPr>
      <w:spacing w:line="181" w:lineRule="atLeast"/>
    </w:pPr>
    <w:rPr>
      <w:rFonts w:cstheme="minorBidi"/>
      <w:color w:val="auto"/>
    </w:rPr>
  </w:style>
  <w:style w:type="character" w:customStyle="1" w:styleId="A40">
    <w:name w:val="A40"/>
    <w:uiPriority w:val="99"/>
    <w:rsid w:val="00A9569E"/>
    <w:rPr>
      <w:rFonts w:cs="Gill Sans MT"/>
      <w:color w:val="000000"/>
      <w:sz w:val="17"/>
      <w:szCs w:val="17"/>
    </w:rPr>
  </w:style>
  <w:style w:type="paragraph" w:customStyle="1" w:styleId="Pa23">
    <w:name w:val="Pa23"/>
    <w:basedOn w:val="Default"/>
    <w:next w:val="Default"/>
    <w:uiPriority w:val="99"/>
    <w:rsid w:val="00A9569E"/>
    <w:pPr>
      <w:spacing w:line="181" w:lineRule="atLeast"/>
    </w:pPr>
    <w:rPr>
      <w:rFonts w:cstheme="minorBidi"/>
      <w:color w:val="auto"/>
    </w:rPr>
  </w:style>
  <w:style w:type="character" w:styleId="Hyperlink">
    <w:name w:val="Hyperlink"/>
    <w:basedOn w:val="DefaultParagraphFont"/>
    <w:uiPriority w:val="99"/>
    <w:unhideWhenUsed/>
    <w:rsid w:val="009B1AEB"/>
    <w:rPr>
      <w:color w:val="4B92DB"/>
      <w:u w:val="single"/>
    </w:rPr>
  </w:style>
  <w:style w:type="paragraph" w:styleId="Revision">
    <w:name w:val="Revision"/>
    <w:hidden/>
    <w:uiPriority w:val="99"/>
    <w:semiHidden/>
    <w:rsid w:val="002B26FF"/>
    <w:pPr>
      <w:spacing w:after="0" w:line="240" w:lineRule="auto"/>
    </w:pPr>
  </w:style>
  <w:style w:type="paragraph" w:styleId="TOCHeading">
    <w:name w:val="TOC Heading"/>
    <w:basedOn w:val="Heading1"/>
    <w:next w:val="Normal"/>
    <w:uiPriority w:val="39"/>
    <w:unhideWhenUsed/>
    <w:qFormat/>
    <w:rsid w:val="00454909"/>
    <w:pPr>
      <w:pageBreakBefore w:val="0"/>
      <w:spacing w:before="240" w:after="0" w:line="259" w:lineRule="auto"/>
      <w:outlineLvl w:val="9"/>
    </w:pPr>
    <w:rPr>
      <w:bCs w:val="0"/>
      <w:color w:val="005996" w:themeColor="accent1" w:themeShade="BF"/>
      <w:szCs w:val="32"/>
      <w:lang w:val="en-US"/>
    </w:rPr>
  </w:style>
  <w:style w:type="paragraph" w:styleId="TOC3">
    <w:name w:val="toc 3"/>
    <w:basedOn w:val="Normal"/>
    <w:next w:val="Normal"/>
    <w:autoRedefine/>
    <w:uiPriority w:val="39"/>
    <w:unhideWhenUsed/>
    <w:rsid w:val="006A5D4C"/>
    <w:pPr>
      <w:tabs>
        <w:tab w:val="right" w:leader="dot" w:pos="9016"/>
      </w:tabs>
      <w:spacing w:after="100" w:line="240" w:lineRule="auto"/>
      <w:ind w:left="480"/>
    </w:pPr>
  </w:style>
  <w:style w:type="paragraph" w:styleId="TOC1">
    <w:name w:val="toc 1"/>
    <w:basedOn w:val="Normal"/>
    <w:next w:val="Normal"/>
    <w:autoRedefine/>
    <w:uiPriority w:val="39"/>
    <w:unhideWhenUsed/>
    <w:rsid w:val="007F3EBC"/>
    <w:pPr>
      <w:spacing w:after="100"/>
    </w:pPr>
  </w:style>
  <w:style w:type="paragraph" w:styleId="TOC2">
    <w:name w:val="toc 2"/>
    <w:basedOn w:val="Normal"/>
    <w:next w:val="Normal"/>
    <w:autoRedefine/>
    <w:uiPriority w:val="39"/>
    <w:unhideWhenUsed/>
    <w:rsid w:val="00007BDD"/>
    <w:pPr>
      <w:spacing w:after="100"/>
    </w:pPr>
  </w:style>
  <w:style w:type="paragraph" w:customStyle="1" w:styleId="Tabledescriptorcell1">
    <w:name w:val="Table descriptor cell 1"/>
    <w:basedOn w:val="Normal"/>
    <w:link w:val="Tabledescriptorcell1Char"/>
    <w:qFormat/>
    <w:rsid w:val="00A02DB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A02DB6"/>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A02DB6"/>
    <w:pPr>
      <w:spacing w:before="60" w:after="60" w:line="240" w:lineRule="auto"/>
    </w:pPr>
    <w:rPr>
      <w:rFonts w:eastAsia="Times New Roman" w:cs="Times New Roman"/>
      <w:sz w:val="20"/>
      <w:szCs w:val="24"/>
      <w:lang w:eastAsia="en-GB"/>
    </w:rPr>
  </w:style>
  <w:style w:type="paragraph" w:customStyle="1" w:styleId="Tabledescriptorcells">
    <w:name w:val="Table descriptor cells"/>
    <w:basedOn w:val="Tabledescriptorcell1"/>
    <w:link w:val="TabledescriptorcellsChar"/>
    <w:qFormat/>
    <w:rsid w:val="00A02DB6"/>
    <w:pPr>
      <w:jc w:val="center"/>
    </w:pPr>
  </w:style>
  <w:style w:type="character" w:customStyle="1" w:styleId="Tabledescriptorcell1Char">
    <w:name w:val="Table descriptor cell 1 Char"/>
    <w:basedOn w:val="DefaultParagraphFont"/>
    <w:link w:val="Tabledescriptorcell1"/>
    <w:rsid w:val="00A02DB6"/>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A02DB6"/>
    <w:rPr>
      <w:rFonts w:ascii="Franklin Gothic Demi" w:eastAsia="Times New Roman" w:hAnsi="Franklin Gothic Demi" w:cs="Times New Roman"/>
      <w:color w:val="0078D2"/>
      <w:szCs w:val="20"/>
      <w:lang w:eastAsia="en-GB"/>
    </w:rPr>
  </w:style>
  <w:style w:type="paragraph" w:customStyle="1" w:styleId="Tableheading">
    <w:name w:val="Table heading"/>
    <w:basedOn w:val="Normal"/>
    <w:qFormat/>
    <w:rsid w:val="00A02DB6"/>
    <w:rPr>
      <w:rFonts w:ascii="Franklin Gothic Demi" w:eastAsia="Times New Roman" w:hAnsi="Franklin Gothic Demi" w:cs="Arial"/>
      <w:color w:val="003479"/>
      <w:szCs w:val="24"/>
      <w:lang w:val="en" w:eastAsia="en-GB"/>
    </w:rPr>
  </w:style>
  <w:style w:type="paragraph" w:customStyle="1" w:styleId="Dateandstrap">
    <w:name w:val="Date and strap"/>
    <w:qFormat/>
    <w:rsid w:val="001C4141"/>
    <w:pPr>
      <w:spacing w:after="0" w:line="240" w:lineRule="auto"/>
    </w:pPr>
    <w:rPr>
      <w:rFonts w:cs="Arial"/>
      <w:color w:val="FFFFFF" w:themeColor="background1"/>
      <w:sz w:val="22"/>
      <w:lang w:val="en-US"/>
    </w:rPr>
  </w:style>
  <w:style w:type="paragraph" w:customStyle="1" w:styleId="Web">
    <w:name w:val="Web"/>
    <w:qFormat/>
    <w:rsid w:val="001C4141"/>
    <w:pPr>
      <w:spacing w:after="0" w:line="240" w:lineRule="auto"/>
      <w:jc w:val="both"/>
    </w:pPr>
    <w:rPr>
      <w:rFonts w:ascii="Franklin Gothic Demi" w:hAnsi="Franklin Gothic Demi" w:cs="Arial"/>
      <w:color w:val="003479"/>
      <w:sz w:val="28"/>
      <w:szCs w:val="28"/>
      <w:lang w:val="en-US"/>
    </w:rPr>
  </w:style>
  <w:style w:type="character" w:styleId="FollowedHyperlink">
    <w:name w:val="FollowedHyperlink"/>
    <w:basedOn w:val="DefaultParagraphFont"/>
    <w:uiPriority w:val="99"/>
    <w:semiHidden/>
    <w:unhideWhenUsed/>
    <w:rsid w:val="0026546D"/>
    <w:rPr>
      <w:color w:val="CA0083" w:themeColor="followedHyperlink"/>
      <w:u w:val="single"/>
    </w:rPr>
  </w:style>
  <w:style w:type="paragraph" w:styleId="NormalWeb">
    <w:name w:val="Normal (Web)"/>
    <w:basedOn w:val="Normal"/>
    <w:uiPriority w:val="99"/>
    <w:semiHidden/>
    <w:unhideWhenUsed/>
    <w:rsid w:val="00082D1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980">
      <w:bodyDiv w:val="1"/>
      <w:marLeft w:val="0"/>
      <w:marRight w:val="0"/>
      <w:marTop w:val="0"/>
      <w:marBottom w:val="0"/>
      <w:divBdr>
        <w:top w:val="none" w:sz="0" w:space="0" w:color="auto"/>
        <w:left w:val="none" w:sz="0" w:space="0" w:color="auto"/>
        <w:bottom w:val="none" w:sz="0" w:space="0" w:color="auto"/>
        <w:right w:val="none" w:sz="0" w:space="0" w:color="auto"/>
      </w:divBdr>
    </w:div>
    <w:div w:id="64647019">
      <w:bodyDiv w:val="1"/>
      <w:marLeft w:val="0"/>
      <w:marRight w:val="0"/>
      <w:marTop w:val="0"/>
      <w:marBottom w:val="0"/>
      <w:divBdr>
        <w:top w:val="none" w:sz="0" w:space="0" w:color="auto"/>
        <w:left w:val="none" w:sz="0" w:space="0" w:color="auto"/>
        <w:bottom w:val="none" w:sz="0" w:space="0" w:color="auto"/>
        <w:right w:val="none" w:sz="0" w:space="0" w:color="auto"/>
      </w:divBdr>
    </w:div>
    <w:div w:id="283968310">
      <w:bodyDiv w:val="1"/>
      <w:marLeft w:val="0"/>
      <w:marRight w:val="0"/>
      <w:marTop w:val="0"/>
      <w:marBottom w:val="0"/>
      <w:divBdr>
        <w:top w:val="none" w:sz="0" w:space="0" w:color="auto"/>
        <w:left w:val="none" w:sz="0" w:space="0" w:color="auto"/>
        <w:bottom w:val="none" w:sz="0" w:space="0" w:color="auto"/>
        <w:right w:val="none" w:sz="0" w:space="0" w:color="auto"/>
      </w:divBdr>
    </w:div>
    <w:div w:id="407197145">
      <w:bodyDiv w:val="1"/>
      <w:marLeft w:val="0"/>
      <w:marRight w:val="0"/>
      <w:marTop w:val="0"/>
      <w:marBottom w:val="0"/>
      <w:divBdr>
        <w:top w:val="none" w:sz="0" w:space="0" w:color="auto"/>
        <w:left w:val="none" w:sz="0" w:space="0" w:color="auto"/>
        <w:bottom w:val="none" w:sz="0" w:space="0" w:color="auto"/>
        <w:right w:val="none" w:sz="0" w:space="0" w:color="auto"/>
      </w:divBdr>
    </w:div>
    <w:div w:id="512495861">
      <w:bodyDiv w:val="1"/>
      <w:marLeft w:val="0"/>
      <w:marRight w:val="0"/>
      <w:marTop w:val="0"/>
      <w:marBottom w:val="0"/>
      <w:divBdr>
        <w:top w:val="none" w:sz="0" w:space="0" w:color="auto"/>
        <w:left w:val="none" w:sz="0" w:space="0" w:color="auto"/>
        <w:bottom w:val="none" w:sz="0" w:space="0" w:color="auto"/>
        <w:right w:val="none" w:sz="0" w:space="0" w:color="auto"/>
      </w:divBdr>
    </w:div>
    <w:div w:id="559633608">
      <w:bodyDiv w:val="1"/>
      <w:marLeft w:val="0"/>
      <w:marRight w:val="0"/>
      <w:marTop w:val="0"/>
      <w:marBottom w:val="0"/>
      <w:divBdr>
        <w:top w:val="none" w:sz="0" w:space="0" w:color="auto"/>
        <w:left w:val="none" w:sz="0" w:space="0" w:color="auto"/>
        <w:bottom w:val="none" w:sz="0" w:space="0" w:color="auto"/>
        <w:right w:val="none" w:sz="0" w:space="0" w:color="auto"/>
      </w:divBdr>
    </w:div>
    <w:div w:id="636181053">
      <w:bodyDiv w:val="1"/>
      <w:marLeft w:val="0"/>
      <w:marRight w:val="0"/>
      <w:marTop w:val="0"/>
      <w:marBottom w:val="0"/>
      <w:divBdr>
        <w:top w:val="none" w:sz="0" w:space="0" w:color="auto"/>
        <w:left w:val="none" w:sz="0" w:space="0" w:color="auto"/>
        <w:bottom w:val="none" w:sz="0" w:space="0" w:color="auto"/>
        <w:right w:val="none" w:sz="0" w:space="0" w:color="auto"/>
      </w:divBdr>
    </w:div>
    <w:div w:id="639849975">
      <w:bodyDiv w:val="1"/>
      <w:marLeft w:val="0"/>
      <w:marRight w:val="0"/>
      <w:marTop w:val="0"/>
      <w:marBottom w:val="0"/>
      <w:divBdr>
        <w:top w:val="none" w:sz="0" w:space="0" w:color="auto"/>
        <w:left w:val="none" w:sz="0" w:space="0" w:color="auto"/>
        <w:bottom w:val="none" w:sz="0" w:space="0" w:color="auto"/>
        <w:right w:val="none" w:sz="0" w:space="0" w:color="auto"/>
      </w:divBdr>
      <w:divsChild>
        <w:div w:id="908618600">
          <w:marLeft w:val="0"/>
          <w:marRight w:val="0"/>
          <w:marTop w:val="0"/>
          <w:marBottom w:val="0"/>
          <w:divBdr>
            <w:top w:val="none" w:sz="0" w:space="0" w:color="auto"/>
            <w:left w:val="none" w:sz="0" w:space="0" w:color="auto"/>
            <w:bottom w:val="none" w:sz="0" w:space="0" w:color="auto"/>
            <w:right w:val="none" w:sz="0" w:space="0" w:color="auto"/>
          </w:divBdr>
          <w:divsChild>
            <w:div w:id="8350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968">
      <w:bodyDiv w:val="1"/>
      <w:marLeft w:val="0"/>
      <w:marRight w:val="0"/>
      <w:marTop w:val="0"/>
      <w:marBottom w:val="0"/>
      <w:divBdr>
        <w:top w:val="none" w:sz="0" w:space="0" w:color="auto"/>
        <w:left w:val="single" w:sz="6" w:space="0" w:color="D6D6D6"/>
        <w:bottom w:val="none" w:sz="0" w:space="0" w:color="auto"/>
        <w:right w:val="single" w:sz="6" w:space="0" w:color="D6D6D6"/>
      </w:divBdr>
      <w:divsChild>
        <w:div w:id="591470282">
          <w:marLeft w:val="0"/>
          <w:marRight w:val="0"/>
          <w:marTop w:val="0"/>
          <w:marBottom w:val="0"/>
          <w:divBdr>
            <w:top w:val="none" w:sz="0" w:space="0" w:color="auto"/>
            <w:left w:val="none" w:sz="0" w:space="0" w:color="auto"/>
            <w:bottom w:val="none" w:sz="0" w:space="0" w:color="auto"/>
            <w:right w:val="none" w:sz="0" w:space="0" w:color="auto"/>
          </w:divBdr>
          <w:divsChild>
            <w:div w:id="2058115573">
              <w:marLeft w:val="0"/>
              <w:marRight w:val="0"/>
              <w:marTop w:val="0"/>
              <w:marBottom w:val="0"/>
              <w:divBdr>
                <w:top w:val="none" w:sz="0" w:space="0" w:color="auto"/>
                <w:left w:val="none" w:sz="0" w:space="0" w:color="auto"/>
                <w:bottom w:val="none" w:sz="0" w:space="0" w:color="auto"/>
                <w:right w:val="none" w:sz="0" w:space="0" w:color="auto"/>
              </w:divBdr>
              <w:divsChild>
                <w:div w:id="1839492150">
                  <w:marLeft w:val="0"/>
                  <w:marRight w:val="0"/>
                  <w:marTop w:val="0"/>
                  <w:marBottom w:val="0"/>
                  <w:divBdr>
                    <w:top w:val="none" w:sz="0" w:space="0" w:color="auto"/>
                    <w:left w:val="none" w:sz="0" w:space="0" w:color="auto"/>
                    <w:bottom w:val="none" w:sz="0" w:space="0" w:color="auto"/>
                    <w:right w:val="none" w:sz="0" w:space="0" w:color="auto"/>
                  </w:divBdr>
                  <w:divsChild>
                    <w:div w:id="1544638939">
                      <w:marLeft w:val="2700"/>
                      <w:marRight w:val="0"/>
                      <w:marTop w:val="0"/>
                      <w:marBottom w:val="0"/>
                      <w:divBdr>
                        <w:top w:val="none" w:sz="0" w:space="0" w:color="auto"/>
                        <w:left w:val="none" w:sz="0" w:space="0" w:color="auto"/>
                        <w:bottom w:val="none" w:sz="0" w:space="0" w:color="auto"/>
                        <w:right w:val="none" w:sz="0" w:space="0" w:color="auto"/>
                      </w:divBdr>
                      <w:divsChild>
                        <w:div w:id="1335376085">
                          <w:marLeft w:val="0"/>
                          <w:marRight w:val="0"/>
                          <w:marTop w:val="0"/>
                          <w:marBottom w:val="0"/>
                          <w:divBdr>
                            <w:top w:val="none" w:sz="0" w:space="0" w:color="auto"/>
                            <w:left w:val="none" w:sz="0" w:space="0" w:color="auto"/>
                            <w:bottom w:val="none" w:sz="0" w:space="0" w:color="auto"/>
                            <w:right w:val="none" w:sz="0" w:space="0" w:color="auto"/>
                          </w:divBdr>
                          <w:divsChild>
                            <w:div w:id="810563556">
                              <w:marLeft w:val="0"/>
                              <w:marRight w:val="0"/>
                              <w:marTop w:val="0"/>
                              <w:marBottom w:val="0"/>
                              <w:divBdr>
                                <w:top w:val="none" w:sz="0" w:space="0" w:color="auto"/>
                                <w:left w:val="none" w:sz="0" w:space="0" w:color="auto"/>
                                <w:bottom w:val="none" w:sz="0" w:space="0" w:color="auto"/>
                                <w:right w:val="none" w:sz="0" w:space="0" w:color="auto"/>
                              </w:divBdr>
                              <w:divsChild>
                                <w:div w:id="2083792650">
                                  <w:marLeft w:val="0"/>
                                  <w:marRight w:val="0"/>
                                  <w:marTop w:val="0"/>
                                  <w:marBottom w:val="0"/>
                                  <w:divBdr>
                                    <w:top w:val="none" w:sz="0" w:space="0" w:color="auto"/>
                                    <w:left w:val="none" w:sz="0" w:space="0" w:color="auto"/>
                                    <w:bottom w:val="none" w:sz="0" w:space="0" w:color="auto"/>
                                    <w:right w:val="none" w:sz="0" w:space="0" w:color="auto"/>
                                  </w:divBdr>
                                  <w:divsChild>
                                    <w:div w:id="350688758">
                                      <w:marLeft w:val="0"/>
                                      <w:marRight w:val="0"/>
                                      <w:marTop w:val="0"/>
                                      <w:marBottom w:val="0"/>
                                      <w:divBdr>
                                        <w:top w:val="none" w:sz="0" w:space="0" w:color="auto"/>
                                        <w:left w:val="none" w:sz="0" w:space="0" w:color="auto"/>
                                        <w:bottom w:val="none" w:sz="0" w:space="0" w:color="auto"/>
                                        <w:right w:val="none" w:sz="0" w:space="0" w:color="auto"/>
                                      </w:divBdr>
                                      <w:divsChild>
                                        <w:div w:id="92363459">
                                          <w:marLeft w:val="0"/>
                                          <w:marRight w:val="0"/>
                                          <w:marTop w:val="0"/>
                                          <w:marBottom w:val="0"/>
                                          <w:divBdr>
                                            <w:top w:val="none" w:sz="0" w:space="0" w:color="auto"/>
                                            <w:left w:val="none" w:sz="0" w:space="0" w:color="auto"/>
                                            <w:bottom w:val="none" w:sz="0" w:space="0" w:color="auto"/>
                                            <w:right w:val="none" w:sz="0" w:space="0" w:color="auto"/>
                                          </w:divBdr>
                                          <w:divsChild>
                                            <w:div w:id="497891525">
                                              <w:marLeft w:val="0"/>
                                              <w:marRight w:val="0"/>
                                              <w:marTop w:val="0"/>
                                              <w:marBottom w:val="0"/>
                                              <w:divBdr>
                                                <w:top w:val="none" w:sz="0" w:space="0" w:color="auto"/>
                                                <w:left w:val="none" w:sz="0" w:space="0" w:color="auto"/>
                                                <w:bottom w:val="none" w:sz="0" w:space="0" w:color="auto"/>
                                                <w:right w:val="none" w:sz="0" w:space="0" w:color="auto"/>
                                              </w:divBdr>
                                              <w:divsChild>
                                                <w:div w:id="877089351">
                                                  <w:marLeft w:val="0"/>
                                                  <w:marRight w:val="0"/>
                                                  <w:marTop w:val="0"/>
                                                  <w:marBottom w:val="0"/>
                                                  <w:divBdr>
                                                    <w:top w:val="none" w:sz="0" w:space="0" w:color="auto"/>
                                                    <w:left w:val="none" w:sz="0" w:space="0" w:color="auto"/>
                                                    <w:bottom w:val="none" w:sz="0" w:space="0" w:color="auto"/>
                                                    <w:right w:val="none" w:sz="0" w:space="0" w:color="auto"/>
                                                  </w:divBdr>
                                                  <w:divsChild>
                                                    <w:div w:id="248975869">
                                                      <w:marLeft w:val="0"/>
                                                      <w:marRight w:val="0"/>
                                                      <w:marTop w:val="0"/>
                                                      <w:marBottom w:val="0"/>
                                                      <w:divBdr>
                                                        <w:top w:val="none" w:sz="0" w:space="0" w:color="auto"/>
                                                        <w:left w:val="none" w:sz="0" w:space="0" w:color="auto"/>
                                                        <w:bottom w:val="none" w:sz="0" w:space="0" w:color="auto"/>
                                                        <w:right w:val="none" w:sz="0" w:space="0" w:color="auto"/>
                                                      </w:divBdr>
                                                      <w:divsChild>
                                                        <w:div w:id="1816095518">
                                                          <w:marLeft w:val="15"/>
                                                          <w:marRight w:val="15"/>
                                                          <w:marTop w:val="15"/>
                                                          <w:marBottom w:val="15"/>
                                                          <w:divBdr>
                                                            <w:top w:val="none" w:sz="0" w:space="0" w:color="auto"/>
                                                            <w:left w:val="none" w:sz="0" w:space="0" w:color="auto"/>
                                                            <w:bottom w:val="none" w:sz="0" w:space="0" w:color="auto"/>
                                                            <w:right w:val="none" w:sz="0" w:space="0" w:color="auto"/>
                                                          </w:divBdr>
                                                          <w:divsChild>
                                                            <w:div w:id="1352341508">
                                                              <w:marLeft w:val="0"/>
                                                              <w:marRight w:val="0"/>
                                                              <w:marTop w:val="0"/>
                                                              <w:marBottom w:val="0"/>
                                                              <w:divBdr>
                                                                <w:top w:val="none" w:sz="0" w:space="0" w:color="auto"/>
                                                                <w:left w:val="none" w:sz="0" w:space="0" w:color="auto"/>
                                                                <w:bottom w:val="none" w:sz="0" w:space="0" w:color="auto"/>
                                                                <w:right w:val="none" w:sz="0" w:space="0" w:color="auto"/>
                                                              </w:divBdr>
                                                              <w:divsChild>
                                                                <w:div w:id="1641423486">
                                                                  <w:marLeft w:val="0"/>
                                                                  <w:marRight w:val="0"/>
                                                                  <w:marTop w:val="0"/>
                                                                  <w:marBottom w:val="0"/>
                                                                  <w:divBdr>
                                                                    <w:top w:val="none" w:sz="0" w:space="0" w:color="auto"/>
                                                                    <w:left w:val="none" w:sz="0" w:space="0" w:color="auto"/>
                                                                    <w:bottom w:val="none" w:sz="0" w:space="0" w:color="auto"/>
                                                                    <w:right w:val="none" w:sz="0" w:space="0" w:color="auto"/>
                                                                  </w:divBdr>
                                                                  <w:divsChild>
                                                                    <w:div w:id="398329876">
                                                                      <w:marLeft w:val="0"/>
                                                                      <w:marRight w:val="0"/>
                                                                      <w:marTop w:val="0"/>
                                                                      <w:marBottom w:val="0"/>
                                                                      <w:divBdr>
                                                                        <w:top w:val="none" w:sz="0" w:space="0" w:color="auto"/>
                                                                        <w:left w:val="none" w:sz="0" w:space="0" w:color="auto"/>
                                                                        <w:bottom w:val="none" w:sz="0" w:space="0" w:color="auto"/>
                                                                        <w:right w:val="none" w:sz="0" w:space="0" w:color="auto"/>
                                                                      </w:divBdr>
                                                                      <w:divsChild>
                                                                        <w:div w:id="2086102780">
                                                                          <w:marLeft w:val="0"/>
                                                                          <w:marRight w:val="0"/>
                                                                          <w:marTop w:val="0"/>
                                                                          <w:marBottom w:val="0"/>
                                                                          <w:divBdr>
                                                                            <w:top w:val="none" w:sz="0" w:space="0" w:color="auto"/>
                                                                            <w:left w:val="none" w:sz="0" w:space="0" w:color="auto"/>
                                                                            <w:bottom w:val="none" w:sz="0" w:space="0" w:color="auto"/>
                                                                            <w:right w:val="none" w:sz="0" w:space="0" w:color="auto"/>
                                                                          </w:divBdr>
                                                                          <w:divsChild>
                                                                            <w:div w:id="783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86693">
      <w:bodyDiv w:val="1"/>
      <w:marLeft w:val="0"/>
      <w:marRight w:val="0"/>
      <w:marTop w:val="0"/>
      <w:marBottom w:val="0"/>
      <w:divBdr>
        <w:top w:val="none" w:sz="0" w:space="0" w:color="auto"/>
        <w:left w:val="none" w:sz="0" w:space="0" w:color="auto"/>
        <w:bottom w:val="none" w:sz="0" w:space="0" w:color="auto"/>
        <w:right w:val="none" w:sz="0" w:space="0" w:color="auto"/>
      </w:divBdr>
    </w:div>
    <w:div w:id="757291698">
      <w:bodyDiv w:val="1"/>
      <w:marLeft w:val="0"/>
      <w:marRight w:val="0"/>
      <w:marTop w:val="0"/>
      <w:marBottom w:val="0"/>
      <w:divBdr>
        <w:top w:val="none" w:sz="0" w:space="0" w:color="auto"/>
        <w:left w:val="none" w:sz="0" w:space="0" w:color="auto"/>
        <w:bottom w:val="none" w:sz="0" w:space="0" w:color="auto"/>
        <w:right w:val="none" w:sz="0" w:space="0" w:color="auto"/>
      </w:divBdr>
    </w:div>
    <w:div w:id="759837532">
      <w:bodyDiv w:val="1"/>
      <w:marLeft w:val="0"/>
      <w:marRight w:val="0"/>
      <w:marTop w:val="0"/>
      <w:marBottom w:val="0"/>
      <w:divBdr>
        <w:top w:val="none" w:sz="0" w:space="0" w:color="auto"/>
        <w:left w:val="none" w:sz="0" w:space="0" w:color="auto"/>
        <w:bottom w:val="none" w:sz="0" w:space="0" w:color="auto"/>
        <w:right w:val="none" w:sz="0" w:space="0" w:color="auto"/>
      </w:divBdr>
    </w:div>
    <w:div w:id="889341719">
      <w:bodyDiv w:val="1"/>
      <w:marLeft w:val="0"/>
      <w:marRight w:val="0"/>
      <w:marTop w:val="0"/>
      <w:marBottom w:val="0"/>
      <w:divBdr>
        <w:top w:val="none" w:sz="0" w:space="0" w:color="auto"/>
        <w:left w:val="none" w:sz="0" w:space="0" w:color="auto"/>
        <w:bottom w:val="none" w:sz="0" w:space="0" w:color="auto"/>
        <w:right w:val="none" w:sz="0" w:space="0" w:color="auto"/>
      </w:divBdr>
    </w:div>
    <w:div w:id="938873711">
      <w:bodyDiv w:val="1"/>
      <w:marLeft w:val="0"/>
      <w:marRight w:val="0"/>
      <w:marTop w:val="0"/>
      <w:marBottom w:val="0"/>
      <w:divBdr>
        <w:top w:val="none" w:sz="0" w:space="0" w:color="auto"/>
        <w:left w:val="none" w:sz="0" w:space="0" w:color="auto"/>
        <w:bottom w:val="none" w:sz="0" w:space="0" w:color="auto"/>
        <w:right w:val="none" w:sz="0" w:space="0" w:color="auto"/>
      </w:divBdr>
    </w:div>
    <w:div w:id="999843017">
      <w:bodyDiv w:val="1"/>
      <w:marLeft w:val="0"/>
      <w:marRight w:val="0"/>
      <w:marTop w:val="0"/>
      <w:marBottom w:val="0"/>
      <w:divBdr>
        <w:top w:val="none" w:sz="0" w:space="0" w:color="auto"/>
        <w:left w:val="none" w:sz="0" w:space="0" w:color="auto"/>
        <w:bottom w:val="none" w:sz="0" w:space="0" w:color="auto"/>
        <w:right w:val="none" w:sz="0" w:space="0" w:color="auto"/>
      </w:divBdr>
    </w:div>
    <w:div w:id="1202942810">
      <w:bodyDiv w:val="1"/>
      <w:marLeft w:val="0"/>
      <w:marRight w:val="0"/>
      <w:marTop w:val="0"/>
      <w:marBottom w:val="0"/>
      <w:divBdr>
        <w:top w:val="none" w:sz="0" w:space="0" w:color="auto"/>
        <w:left w:val="none" w:sz="0" w:space="0" w:color="auto"/>
        <w:bottom w:val="none" w:sz="0" w:space="0" w:color="auto"/>
        <w:right w:val="none" w:sz="0" w:space="0" w:color="auto"/>
      </w:divBdr>
      <w:divsChild>
        <w:div w:id="73937652">
          <w:marLeft w:val="0"/>
          <w:marRight w:val="0"/>
          <w:marTop w:val="0"/>
          <w:marBottom w:val="0"/>
          <w:divBdr>
            <w:top w:val="none" w:sz="0" w:space="0" w:color="auto"/>
            <w:left w:val="none" w:sz="0" w:space="0" w:color="auto"/>
            <w:bottom w:val="none" w:sz="0" w:space="0" w:color="auto"/>
            <w:right w:val="none" w:sz="0" w:space="0" w:color="auto"/>
          </w:divBdr>
          <w:divsChild>
            <w:div w:id="7447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7735">
      <w:bodyDiv w:val="1"/>
      <w:marLeft w:val="0"/>
      <w:marRight w:val="0"/>
      <w:marTop w:val="0"/>
      <w:marBottom w:val="0"/>
      <w:divBdr>
        <w:top w:val="none" w:sz="0" w:space="0" w:color="auto"/>
        <w:left w:val="none" w:sz="0" w:space="0" w:color="auto"/>
        <w:bottom w:val="none" w:sz="0" w:space="0" w:color="auto"/>
        <w:right w:val="none" w:sz="0" w:space="0" w:color="auto"/>
      </w:divBdr>
    </w:div>
    <w:div w:id="1275409120">
      <w:bodyDiv w:val="1"/>
      <w:marLeft w:val="0"/>
      <w:marRight w:val="0"/>
      <w:marTop w:val="0"/>
      <w:marBottom w:val="0"/>
      <w:divBdr>
        <w:top w:val="none" w:sz="0" w:space="0" w:color="auto"/>
        <w:left w:val="none" w:sz="0" w:space="0" w:color="auto"/>
        <w:bottom w:val="none" w:sz="0" w:space="0" w:color="auto"/>
        <w:right w:val="none" w:sz="0" w:space="0" w:color="auto"/>
      </w:divBdr>
    </w:div>
    <w:div w:id="1377386697">
      <w:bodyDiv w:val="1"/>
      <w:marLeft w:val="0"/>
      <w:marRight w:val="0"/>
      <w:marTop w:val="0"/>
      <w:marBottom w:val="0"/>
      <w:divBdr>
        <w:top w:val="none" w:sz="0" w:space="0" w:color="auto"/>
        <w:left w:val="none" w:sz="0" w:space="0" w:color="auto"/>
        <w:bottom w:val="none" w:sz="0" w:space="0" w:color="auto"/>
        <w:right w:val="none" w:sz="0" w:space="0" w:color="auto"/>
      </w:divBdr>
    </w:div>
    <w:div w:id="1456019150">
      <w:bodyDiv w:val="1"/>
      <w:marLeft w:val="0"/>
      <w:marRight w:val="0"/>
      <w:marTop w:val="0"/>
      <w:marBottom w:val="0"/>
      <w:divBdr>
        <w:top w:val="none" w:sz="0" w:space="0" w:color="auto"/>
        <w:left w:val="none" w:sz="0" w:space="0" w:color="auto"/>
        <w:bottom w:val="none" w:sz="0" w:space="0" w:color="auto"/>
        <w:right w:val="none" w:sz="0" w:space="0" w:color="auto"/>
      </w:divBdr>
    </w:div>
    <w:div w:id="1501385101">
      <w:bodyDiv w:val="1"/>
      <w:marLeft w:val="0"/>
      <w:marRight w:val="0"/>
      <w:marTop w:val="0"/>
      <w:marBottom w:val="0"/>
      <w:divBdr>
        <w:top w:val="none" w:sz="0" w:space="0" w:color="auto"/>
        <w:left w:val="none" w:sz="0" w:space="0" w:color="auto"/>
        <w:bottom w:val="none" w:sz="0" w:space="0" w:color="auto"/>
        <w:right w:val="none" w:sz="0" w:space="0" w:color="auto"/>
      </w:divBdr>
    </w:div>
    <w:div w:id="1540825749">
      <w:bodyDiv w:val="1"/>
      <w:marLeft w:val="0"/>
      <w:marRight w:val="0"/>
      <w:marTop w:val="0"/>
      <w:marBottom w:val="0"/>
      <w:divBdr>
        <w:top w:val="none" w:sz="0" w:space="0" w:color="auto"/>
        <w:left w:val="none" w:sz="0" w:space="0" w:color="auto"/>
        <w:bottom w:val="none" w:sz="0" w:space="0" w:color="auto"/>
        <w:right w:val="none" w:sz="0" w:space="0" w:color="auto"/>
      </w:divBdr>
    </w:div>
    <w:div w:id="1566987674">
      <w:bodyDiv w:val="1"/>
      <w:marLeft w:val="0"/>
      <w:marRight w:val="0"/>
      <w:marTop w:val="0"/>
      <w:marBottom w:val="0"/>
      <w:divBdr>
        <w:top w:val="none" w:sz="0" w:space="0" w:color="auto"/>
        <w:left w:val="none" w:sz="0" w:space="0" w:color="auto"/>
        <w:bottom w:val="none" w:sz="0" w:space="0" w:color="auto"/>
        <w:right w:val="none" w:sz="0" w:space="0" w:color="auto"/>
      </w:divBdr>
    </w:div>
    <w:div w:id="1567187252">
      <w:bodyDiv w:val="1"/>
      <w:marLeft w:val="0"/>
      <w:marRight w:val="0"/>
      <w:marTop w:val="0"/>
      <w:marBottom w:val="0"/>
      <w:divBdr>
        <w:top w:val="none" w:sz="0" w:space="0" w:color="auto"/>
        <w:left w:val="none" w:sz="0" w:space="0" w:color="auto"/>
        <w:bottom w:val="none" w:sz="0" w:space="0" w:color="auto"/>
        <w:right w:val="none" w:sz="0" w:space="0" w:color="auto"/>
      </w:divBdr>
    </w:div>
    <w:div w:id="1607736524">
      <w:bodyDiv w:val="1"/>
      <w:marLeft w:val="0"/>
      <w:marRight w:val="0"/>
      <w:marTop w:val="0"/>
      <w:marBottom w:val="0"/>
      <w:divBdr>
        <w:top w:val="none" w:sz="0" w:space="0" w:color="auto"/>
        <w:left w:val="none" w:sz="0" w:space="0" w:color="auto"/>
        <w:bottom w:val="none" w:sz="0" w:space="0" w:color="auto"/>
        <w:right w:val="none" w:sz="0" w:space="0" w:color="auto"/>
      </w:divBdr>
    </w:div>
    <w:div w:id="1608654096">
      <w:bodyDiv w:val="1"/>
      <w:marLeft w:val="0"/>
      <w:marRight w:val="0"/>
      <w:marTop w:val="0"/>
      <w:marBottom w:val="0"/>
      <w:divBdr>
        <w:top w:val="none" w:sz="0" w:space="0" w:color="auto"/>
        <w:left w:val="none" w:sz="0" w:space="0" w:color="auto"/>
        <w:bottom w:val="none" w:sz="0" w:space="0" w:color="auto"/>
        <w:right w:val="none" w:sz="0" w:space="0" w:color="auto"/>
      </w:divBdr>
    </w:div>
    <w:div w:id="1639460246">
      <w:bodyDiv w:val="1"/>
      <w:marLeft w:val="0"/>
      <w:marRight w:val="0"/>
      <w:marTop w:val="0"/>
      <w:marBottom w:val="0"/>
      <w:divBdr>
        <w:top w:val="none" w:sz="0" w:space="0" w:color="auto"/>
        <w:left w:val="none" w:sz="0" w:space="0" w:color="auto"/>
        <w:bottom w:val="none" w:sz="0" w:space="0" w:color="auto"/>
        <w:right w:val="none" w:sz="0" w:space="0" w:color="auto"/>
      </w:divBdr>
    </w:div>
    <w:div w:id="1673558712">
      <w:bodyDiv w:val="1"/>
      <w:marLeft w:val="0"/>
      <w:marRight w:val="0"/>
      <w:marTop w:val="0"/>
      <w:marBottom w:val="0"/>
      <w:divBdr>
        <w:top w:val="none" w:sz="0" w:space="0" w:color="auto"/>
        <w:left w:val="none" w:sz="0" w:space="0" w:color="auto"/>
        <w:bottom w:val="none" w:sz="0" w:space="0" w:color="auto"/>
        <w:right w:val="none" w:sz="0" w:space="0" w:color="auto"/>
      </w:divBdr>
    </w:div>
    <w:div w:id="1883249847">
      <w:bodyDiv w:val="1"/>
      <w:marLeft w:val="0"/>
      <w:marRight w:val="0"/>
      <w:marTop w:val="0"/>
      <w:marBottom w:val="0"/>
      <w:divBdr>
        <w:top w:val="none" w:sz="0" w:space="0" w:color="auto"/>
        <w:left w:val="none" w:sz="0" w:space="0" w:color="auto"/>
        <w:bottom w:val="none" w:sz="0" w:space="0" w:color="auto"/>
        <w:right w:val="none" w:sz="0" w:space="0" w:color="auto"/>
      </w:divBdr>
    </w:div>
    <w:div w:id="1885672417">
      <w:bodyDiv w:val="1"/>
      <w:marLeft w:val="0"/>
      <w:marRight w:val="0"/>
      <w:marTop w:val="0"/>
      <w:marBottom w:val="0"/>
      <w:divBdr>
        <w:top w:val="none" w:sz="0" w:space="0" w:color="auto"/>
        <w:left w:val="none" w:sz="0" w:space="0" w:color="auto"/>
        <w:bottom w:val="none" w:sz="0" w:space="0" w:color="auto"/>
        <w:right w:val="none" w:sz="0" w:space="0" w:color="auto"/>
      </w:divBdr>
    </w:div>
    <w:div w:id="1935548515">
      <w:bodyDiv w:val="1"/>
      <w:marLeft w:val="0"/>
      <w:marRight w:val="0"/>
      <w:marTop w:val="0"/>
      <w:marBottom w:val="0"/>
      <w:divBdr>
        <w:top w:val="none" w:sz="0" w:space="0" w:color="auto"/>
        <w:left w:val="none" w:sz="0" w:space="0" w:color="auto"/>
        <w:bottom w:val="none" w:sz="0" w:space="0" w:color="auto"/>
        <w:right w:val="none" w:sz="0" w:space="0" w:color="auto"/>
      </w:divBdr>
    </w:div>
    <w:div w:id="20763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fwat.gov.uk/publication/bill-waterfall-model-updated-july-2018/"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fwat.gov.uk/wp-content/uploads/2017/03/1941_OFWAT_Cust_Participation_Report_fina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fwat.gov.uk/wp-content/uploads/2017/12/Final-methodology-1.pdf" TargetMode="External"/><Relationship Id="rId2" Type="http://schemas.openxmlformats.org/officeDocument/2006/relationships/hyperlink" Target="https://www.ofwat.gov.uk/wp-content/uploads/2015/12/pap_pos20160525w2020cust.pdf" TargetMode="External"/><Relationship Id="rId1" Type="http://schemas.openxmlformats.org/officeDocument/2006/relationships/hyperlink" Target="https://www.ofwat.gov.uk/wp-content/uploads/2018/03/Aide-Memoire-for-Customer-Challenge-Groups.pdf" TargetMode="External"/></Relationships>
</file>

<file path=word/theme/theme1.xml><?xml version="1.0" encoding="utf-8"?>
<a:theme xmlns:a="http://schemas.openxmlformats.org/drawingml/2006/main" name="Ofwat 2016">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28AA363ECDA6C4408CEBB4B9858D646B" ma:contentTypeVersion="49" ma:contentTypeDescription="Create a new document" ma:contentTypeScope="" ma:versionID="129bb7a8bc7cb5a20b2b84ce561fd3f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7953977690c5dbbd97d241657f9d936a"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0e5cfab-624c-4e44-8ff4-7cd112c8ab77" ContentTypeId="0x010100573134B1BDBFC74F8C2DBF70E4CDEAD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Company Engagement</TermName>
          <TermId xmlns="http://schemas.microsoft.com/office/infopath/2007/PartnerControls">b0f4644c-a2de-43b6-9119-96262ae296b7</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1802</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Asset xmlns="7041854e-4853-44f9-9e63-23b7acad5461">false</Asset>
    <RelatedItems xmlns="http://schemas.microsoft.com/sharepoint/v3" xsi:nil="true"/>
    <Follow-up xmlns="7041854e-4853-44f9-9e63-23b7acad5461">false</Follow-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6711-A514-46A8-9E76-C5AEDEB5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247C1-E80A-4916-A61F-5E46D5677438}">
  <ds:schemaRefs>
    <ds:schemaRef ds:uri="Microsoft.SharePoint.Taxonomy.ContentTypeSync"/>
  </ds:schemaRefs>
</ds:datastoreItem>
</file>

<file path=customXml/itemProps3.xml><?xml version="1.0" encoding="utf-8"?>
<ds:datastoreItem xmlns:ds="http://schemas.openxmlformats.org/officeDocument/2006/customXml" ds:itemID="{FD71B78C-84D2-490A-AACD-7A926F9642B6}">
  <ds:schemaRefs>
    <ds:schemaRef ds:uri="http://schemas.microsoft.com/sharepoint/v3/contenttype/forms"/>
  </ds:schemaRefs>
</ds:datastoreItem>
</file>

<file path=customXml/itemProps4.xml><?xml version="1.0" encoding="utf-8"?>
<ds:datastoreItem xmlns:ds="http://schemas.openxmlformats.org/officeDocument/2006/customXml" ds:itemID="{4D03E178-D753-4DE5-8F57-A4CE277BD804}">
  <ds:schemaRefs>
    <ds:schemaRef ds:uri="http://schemas.microsoft.com/office/2006/metadata/properties"/>
    <ds:schemaRef ds:uri="http://schemas.microsoft.com/office/infopath/2007/PartnerControls"/>
    <ds:schemaRef ds:uri="7041854e-4853-44f9-9e63-23b7acad5461"/>
    <ds:schemaRef ds:uri="http://schemas.microsoft.com/sharepoint/v3"/>
  </ds:schemaRefs>
</ds:datastoreItem>
</file>

<file path=customXml/itemProps5.xml><?xml version="1.0" encoding="utf-8"?>
<ds:datastoreItem xmlns:ds="http://schemas.openxmlformats.org/officeDocument/2006/customXml" ds:itemID="{851C12A5-95CD-ED4B-AD92-B3A4BE4D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8737</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20180405 Draft Pro Forma for Company presentations</vt:lpstr>
    </vt:vector>
  </TitlesOfParts>
  <Company>Water Services Regulation Authority</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20180405 Draft Pro Forma for Company presentations</dc:title>
  <dc:creator>Sarah Esberger</dc:creator>
  <cp:lastModifiedBy>Alex Holloway</cp:lastModifiedBy>
  <cp:revision>2</cp:revision>
  <cp:lastPrinted>2018-04-10T14:18:00Z</cp:lastPrinted>
  <dcterms:created xsi:type="dcterms:W3CDTF">2019-11-26T15:39:00Z</dcterms:created>
  <dcterms:modified xsi:type="dcterms:W3CDTF">2019-11-26T15:39:00Z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0x010100573134B1BDBFC74F8C2DBF70E4CDEAD40028AA363ECDA6C4408CEBB4B9858D646B</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Stakeholder">
    <vt:lpwstr/>
  </property>
  <property fmtid="{D5CDD505-2E9C-101B-9397-08002B2CF9AE}" pid="7" name="Security Classification">
    <vt:lpwstr>21;#OFFICIAL|c2540f30-f875-494b-a43f-ebfb5017a6ad</vt:lpwstr>
  </property>
  <property fmtid="{D5CDD505-2E9C-101B-9397-08002B2CF9AE}" pid="8" name="Hierarchy">
    <vt:lpwstr/>
  </property>
  <property fmtid="{D5CDD505-2E9C-101B-9397-08002B2CF9AE}" pid="9" name="Collection">
    <vt:lpwstr/>
  </property>
  <property fmtid="{D5CDD505-2E9C-101B-9397-08002B2CF9AE}" pid="10" name="Stakeholder 5">
    <vt:lpwstr/>
  </property>
  <property fmtid="{D5CDD505-2E9C-101B-9397-08002B2CF9AE}" pid="11" name="Project Code">
    <vt:lpwstr>1802;#Company Engagement|b0f4644c-a2de-43b6-9119-96262ae296b7</vt:lpwstr>
  </property>
  <property fmtid="{D5CDD505-2E9C-101B-9397-08002B2CF9AE}" pid="12" name="Stakeholder 3">
    <vt:lpwstr/>
  </property>
</Properties>
</file>