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66A6" w14:textId="77777777" w:rsidR="00662733" w:rsidRPr="00002DC2" w:rsidRDefault="00662733" w:rsidP="00662733">
      <w:pPr>
        <w:keepNext/>
        <w:jc w:val="center"/>
        <w:rPr>
          <w:color w:val="003F84"/>
        </w:rPr>
      </w:pPr>
      <w:r w:rsidRPr="00002DC2">
        <w:rPr>
          <w:rFonts w:ascii="Arial" w:eastAsia="Arial" w:hAnsi="Arial" w:cs="Arial"/>
          <w:b/>
          <w:bCs/>
          <w:color w:val="003F84"/>
        </w:rPr>
        <w:t>Board assurance statement</w:t>
      </w:r>
    </w:p>
    <w:p w14:paraId="5951BF13" w14:textId="77777777" w:rsidR="00662733" w:rsidRDefault="00662733" w:rsidP="00662733">
      <w:pPr>
        <w:keepNext/>
        <w:jc w:val="both"/>
        <w:rPr>
          <w:sz w:val="22"/>
          <w:szCs w:val="22"/>
        </w:rPr>
      </w:pPr>
    </w:p>
    <w:p w14:paraId="301C34C3" w14:textId="77777777" w:rsidR="00662733" w:rsidRDefault="00662733" w:rsidP="003A1812">
      <w:pPr>
        <w:spacing w:after="200"/>
        <w:jc w:val="both"/>
        <w:rPr>
          <w:sz w:val="22"/>
          <w:szCs w:val="22"/>
        </w:rPr>
      </w:pPr>
      <w:r>
        <w:rPr>
          <w:rFonts w:ascii="Arial" w:eastAsia="Arial" w:hAnsi="Arial" w:cs="Arial"/>
          <w:sz w:val="22"/>
          <w:szCs w:val="22"/>
        </w:rPr>
        <w:t xml:space="preserve">Our Board takes its obligations for good corporate governance extremely seriously and dedicates time and expertise to ensure that the Board as a whole is able to fulfill its responsibilities. This submission has been prepared under the assurance processes applicable to all our regulatory submissions and performance reports. The Company’s track record of performance reporting is strong and has been </w:t>
      </w:r>
      <w:proofErr w:type="spellStart"/>
      <w:r>
        <w:rPr>
          <w:rFonts w:ascii="Arial" w:eastAsia="Arial" w:hAnsi="Arial" w:cs="Arial"/>
          <w:sz w:val="22"/>
          <w:szCs w:val="22"/>
        </w:rPr>
        <w:t>recognised</w:t>
      </w:r>
      <w:proofErr w:type="spellEnd"/>
      <w:r>
        <w:rPr>
          <w:rFonts w:ascii="Arial" w:eastAsia="Arial" w:hAnsi="Arial" w:cs="Arial"/>
          <w:sz w:val="22"/>
          <w:szCs w:val="22"/>
        </w:rPr>
        <w:t xml:space="preserve"> as compliant with </w:t>
      </w:r>
      <w:proofErr w:type="spellStart"/>
      <w:r>
        <w:rPr>
          <w:rFonts w:ascii="Arial" w:eastAsia="Arial" w:hAnsi="Arial" w:cs="Arial"/>
          <w:sz w:val="22"/>
          <w:szCs w:val="22"/>
        </w:rPr>
        <w:t>Ofwat’s</w:t>
      </w:r>
      <w:proofErr w:type="spellEnd"/>
      <w:r>
        <w:rPr>
          <w:rFonts w:ascii="Arial" w:eastAsia="Arial" w:hAnsi="Arial" w:cs="Arial"/>
          <w:sz w:val="22"/>
          <w:szCs w:val="22"/>
        </w:rPr>
        <w:t xml:space="preserve"> reporting requirements under the Company Monitoring Framework for both years upon which assessments have been carried out and reports issued.</w:t>
      </w:r>
    </w:p>
    <w:p w14:paraId="4520F628" w14:textId="77777777" w:rsidR="00662733" w:rsidRDefault="00662733" w:rsidP="00662733">
      <w:pPr>
        <w:widowControl w:val="0"/>
        <w:ind w:right="114"/>
        <w:jc w:val="both"/>
        <w:rPr>
          <w:sz w:val="22"/>
          <w:szCs w:val="22"/>
        </w:rPr>
      </w:pPr>
      <w:r>
        <w:rPr>
          <w:rFonts w:ascii="Arial" w:eastAsia="Arial" w:hAnsi="Arial" w:cs="Arial"/>
          <w:sz w:val="22"/>
          <w:szCs w:val="22"/>
        </w:rPr>
        <w:t>The significance the Board has attached to good governance of this Business</w:t>
      </w:r>
      <w:r>
        <w:rPr>
          <w:rFonts w:ascii="Arial" w:eastAsia="Arial" w:hAnsi="Arial" w:cs="Arial"/>
          <w:spacing w:val="54"/>
          <w:sz w:val="22"/>
          <w:szCs w:val="22"/>
        </w:rPr>
        <w:t xml:space="preserve"> </w:t>
      </w:r>
      <w:r>
        <w:rPr>
          <w:rFonts w:ascii="Arial" w:eastAsia="Arial" w:hAnsi="Arial" w:cs="Arial"/>
          <w:sz w:val="22"/>
          <w:szCs w:val="22"/>
        </w:rPr>
        <w:t xml:space="preserve">Plan submission is </w:t>
      </w:r>
      <w:proofErr w:type="spellStart"/>
      <w:r>
        <w:rPr>
          <w:rFonts w:ascii="Arial" w:eastAsia="Arial" w:hAnsi="Arial" w:cs="Arial"/>
          <w:sz w:val="22"/>
          <w:szCs w:val="22"/>
        </w:rPr>
        <w:t>emphasised</w:t>
      </w:r>
      <w:proofErr w:type="spellEnd"/>
      <w:r>
        <w:rPr>
          <w:rFonts w:ascii="Arial" w:eastAsia="Arial" w:hAnsi="Arial" w:cs="Arial"/>
          <w:sz w:val="22"/>
          <w:szCs w:val="22"/>
        </w:rPr>
        <w:t xml:space="preserve"> by devoting chapters of our 200-page main submission to governance and to assurance, where we describe in detail the approach we have taken. This assurance summary statement relies upon, and should be read in conjunction with, the detail provided there.</w:t>
      </w:r>
    </w:p>
    <w:p w14:paraId="1C9023CA" w14:textId="77777777" w:rsidR="00662733" w:rsidRDefault="00662733" w:rsidP="00662733">
      <w:pPr>
        <w:widowControl w:val="0"/>
        <w:ind w:right="114"/>
        <w:jc w:val="both"/>
        <w:rPr>
          <w:sz w:val="22"/>
          <w:szCs w:val="22"/>
        </w:rPr>
      </w:pPr>
    </w:p>
    <w:p w14:paraId="60B9CC41" w14:textId="77777777" w:rsidR="00662733" w:rsidRDefault="00662733" w:rsidP="00662733">
      <w:pPr>
        <w:widowControl w:val="0"/>
        <w:ind w:right="114"/>
        <w:jc w:val="both"/>
        <w:rPr>
          <w:sz w:val="22"/>
          <w:szCs w:val="22"/>
        </w:rPr>
      </w:pPr>
      <w:r>
        <w:rPr>
          <w:rFonts w:ascii="Arial" w:eastAsia="Arial" w:hAnsi="Arial" w:cs="Arial"/>
          <w:sz w:val="22"/>
          <w:szCs w:val="22"/>
        </w:rPr>
        <w:t xml:space="preserve">Our plan for 2020 to 2025 is firmly anchored in a much longer-term perspective. We have published a Long-Term Vision and have planned operational, financial and corporate resilience for the long-term. Our revised draft Water Resources Management Plan covers 60 years and our targets for leakage, bursts and supply interruptions cover multiple regulatory periods. We have stress tested our financial resilience to 2030. </w:t>
      </w:r>
    </w:p>
    <w:p w14:paraId="52DDCB94" w14:textId="77777777" w:rsidR="00662733" w:rsidRDefault="00662733" w:rsidP="00662733">
      <w:pPr>
        <w:widowControl w:val="0"/>
        <w:ind w:right="114"/>
        <w:jc w:val="both"/>
        <w:rPr>
          <w:sz w:val="22"/>
          <w:szCs w:val="22"/>
        </w:rPr>
      </w:pPr>
    </w:p>
    <w:p w14:paraId="21D7D12C" w14:textId="77777777" w:rsidR="00662733" w:rsidRDefault="00662733" w:rsidP="00662733">
      <w:pPr>
        <w:widowControl w:val="0"/>
        <w:ind w:right="114"/>
        <w:jc w:val="both"/>
        <w:rPr>
          <w:sz w:val="22"/>
          <w:szCs w:val="22"/>
        </w:rPr>
      </w:pPr>
      <w:r>
        <w:rPr>
          <w:rFonts w:ascii="Arial" w:eastAsia="Arial" w:hAnsi="Arial" w:cs="Arial"/>
          <w:sz w:val="22"/>
          <w:szCs w:val="22"/>
        </w:rPr>
        <w:t>Our plan is based upon a firm understanding of our customers’ priorities, obtained through our close, regular dialogue with the communities we serve and through the deployment of best in class survey and engagement techniques. Our Customer Scrutiny Panel has had full transparency of the way in which customers’ views have been reflected in our plan and has challenged us appropriately.</w:t>
      </w:r>
    </w:p>
    <w:p w14:paraId="6F8047BE" w14:textId="77777777" w:rsidR="00662733" w:rsidRDefault="00662733" w:rsidP="00662733">
      <w:pPr>
        <w:widowControl w:val="0"/>
        <w:ind w:right="114"/>
        <w:jc w:val="both"/>
        <w:rPr>
          <w:sz w:val="22"/>
          <w:szCs w:val="22"/>
        </w:rPr>
      </w:pPr>
    </w:p>
    <w:p w14:paraId="274D3E29" w14:textId="77777777" w:rsidR="00662733" w:rsidRDefault="00662733" w:rsidP="00662733">
      <w:pPr>
        <w:widowControl w:val="0"/>
        <w:ind w:right="114"/>
        <w:jc w:val="both"/>
        <w:rPr>
          <w:sz w:val="22"/>
          <w:szCs w:val="22"/>
        </w:rPr>
      </w:pPr>
      <w:r>
        <w:rPr>
          <w:rFonts w:ascii="Arial" w:eastAsia="Arial" w:hAnsi="Arial" w:cs="Arial"/>
          <w:sz w:val="22"/>
          <w:szCs w:val="22"/>
        </w:rPr>
        <w:t>We have developed our plan in the context of the Government’s Strategic Policy Statement and its 25-Year Environment Plan alongside the guidance issued by the Environment Agency and the Drinking Water Inspectorate. We have worked with other regulators and stakeholders to produce a plan that delivers benefits to our local environment and society at large, as well as meeting our statutory and regulatory obligations.</w:t>
      </w:r>
    </w:p>
    <w:p w14:paraId="5956615E" w14:textId="77777777" w:rsidR="00662733" w:rsidRDefault="00662733" w:rsidP="00662733">
      <w:pPr>
        <w:widowControl w:val="0"/>
        <w:spacing w:before="11"/>
        <w:jc w:val="both"/>
        <w:rPr>
          <w:sz w:val="28"/>
          <w:szCs w:val="28"/>
        </w:rPr>
      </w:pPr>
    </w:p>
    <w:p w14:paraId="61E22F02" w14:textId="77777777" w:rsidR="00662733" w:rsidRPr="00002DC2" w:rsidRDefault="00662733" w:rsidP="00662733">
      <w:pPr>
        <w:widowControl w:val="0"/>
        <w:ind w:right="115"/>
        <w:jc w:val="both"/>
        <w:rPr>
          <w:rFonts w:ascii="Arial" w:eastAsia="Arial" w:hAnsi="Arial" w:cs="Arial"/>
          <w:sz w:val="22"/>
          <w:szCs w:val="22"/>
        </w:rPr>
      </w:pP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whole</w:t>
      </w:r>
      <w:r>
        <w:rPr>
          <w:rFonts w:ascii="Arial" w:eastAsia="Arial" w:hAnsi="Arial" w:cs="Arial"/>
          <w:spacing w:val="3"/>
          <w:sz w:val="22"/>
          <w:szCs w:val="22"/>
        </w:rPr>
        <w:t xml:space="preserve"> </w:t>
      </w:r>
      <w:r>
        <w:rPr>
          <w:rFonts w:ascii="Arial" w:eastAsia="Arial" w:hAnsi="Arial" w:cs="Arial"/>
          <w:sz w:val="22"/>
          <w:szCs w:val="22"/>
        </w:rPr>
        <w:t>Board</w:t>
      </w:r>
      <w:r>
        <w:rPr>
          <w:rFonts w:ascii="Arial" w:eastAsia="Arial" w:hAnsi="Arial" w:cs="Arial"/>
          <w:spacing w:val="3"/>
          <w:sz w:val="22"/>
          <w:szCs w:val="22"/>
        </w:rPr>
        <w:t xml:space="preserve"> </w:t>
      </w:r>
      <w:r>
        <w:rPr>
          <w:rFonts w:ascii="Arial" w:eastAsia="Arial" w:hAnsi="Arial" w:cs="Arial"/>
          <w:sz w:val="22"/>
          <w:szCs w:val="22"/>
        </w:rPr>
        <w:t>has</w:t>
      </w:r>
      <w:r>
        <w:rPr>
          <w:rFonts w:ascii="Arial" w:eastAsia="Arial" w:hAnsi="Arial" w:cs="Arial"/>
          <w:spacing w:val="4"/>
          <w:sz w:val="22"/>
          <w:szCs w:val="22"/>
        </w:rPr>
        <w:t xml:space="preserve"> played a full part in the development of our plan. Our independent non-executive </w:t>
      </w:r>
      <w:r w:rsidRPr="00002DC2">
        <w:rPr>
          <w:rFonts w:ascii="Arial" w:eastAsia="Arial" w:hAnsi="Arial" w:cs="Arial"/>
          <w:sz w:val="22"/>
          <w:szCs w:val="22"/>
        </w:rPr>
        <w:t xml:space="preserve">directors have acted as champions for the key themes of great customer service, affordability, resilience and innovation, and have attended workshops and meetings of our Customer Scrutiny Panel to contribute to debates. </w:t>
      </w:r>
      <w:r>
        <w:rPr>
          <w:rFonts w:ascii="Arial" w:eastAsia="Arial" w:hAnsi="Arial" w:cs="Arial"/>
          <w:sz w:val="22"/>
          <w:szCs w:val="22"/>
        </w:rPr>
        <w:t xml:space="preserve">They have also chaired Board committees, established </w:t>
      </w:r>
      <w:r w:rsidRPr="00002DC2">
        <w:rPr>
          <w:rFonts w:ascii="Arial" w:eastAsia="Arial" w:hAnsi="Arial" w:cs="Arial"/>
          <w:sz w:val="22"/>
          <w:szCs w:val="22"/>
        </w:rPr>
        <w:t xml:space="preserve">to focus </w:t>
      </w:r>
      <w:r>
        <w:rPr>
          <w:rFonts w:ascii="Arial" w:eastAsia="Arial" w:hAnsi="Arial" w:cs="Arial"/>
          <w:sz w:val="22"/>
          <w:szCs w:val="22"/>
        </w:rPr>
        <w:t xml:space="preserve">on </w:t>
      </w:r>
      <w:r w:rsidRPr="00002DC2">
        <w:rPr>
          <w:rFonts w:ascii="Arial" w:eastAsia="Arial" w:hAnsi="Arial" w:cs="Arial"/>
          <w:sz w:val="22"/>
          <w:szCs w:val="22"/>
        </w:rPr>
        <w:t xml:space="preserve">aspects of our </w:t>
      </w:r>
      <w:r>
        <w:rPr>
          <w:rFonts w:ascii="Arial" w:eastAsia="Arial" w:hAnsi="Arial" w:cs="Arial"/>
          <w:sz w:val="22"/>
          <w:szCs w:val="22"/>
        </w:rPr>
        <w:t>p</w:t>
      </w:r>
      <w:r w:rsidRPr="00002DC2">
        <w:rPr>
          <w:rFonts w:ascii="Arial" w:eastAsia="Arial" w:hAnsi="Arial" w:cs="Arial"/>
          <w:sz w:val="22"/>
          <w:szCs w:val="22"/>
        </w:rPr>
        <w:t xml:space="preserve">lan, including strategy for financing, governance, pensions and energy and carbon management. The whole Board has considered reports on progress at each meeting and has dedicated special meetings to consideration of strategic aspects of our </w:t>
      </w:r>
      <w:r>
        <w:rPr>
          <w:rFonts w:ascii="Arial" w:eastAsia="Arial" w:hAnsi="Arial" w:cs="Arial"/>
          <w:sz w:val="22"/>
          <w:szCs w:val="22"/>
        </w:rPr>
        <w:t>p</w:t>
      </w:r>
      <w:r w:rsidRPr="00002DC2">
        <w:rPr>
          <w:rFonts w:ascii="Arial" w:eastAsia="Arial" w:hAnsi="Arial" w:cs="Arial"/>
          <w:sz w:val="22"/>
          <w:szCs w:val="22"/>
        </w:rPr>
        <w:t>lan.</w:t>
      </w:r>
      <w:r>
        <w:rPr>
          <w:rFonts w:ascii="Arial" w:eastAsia="Arial" w:hAnsi="Arial" w:cs="Arial"/>
          <w:sz w:val="22"/>
          <w:szCs w:val="22"/>
        </w:rPr>
        <w:t xml:space="preserve"> </w:t>
      </w:r>
    </w:p>
    <w:p w14:paraId="3D325417" w14:textId="77777777" w:rsidR="00662733" w:rsidRDefault="00662733" w:rsidP="00662733">
      <w:pPr>
        <w:widowControl w:val="0"/>
        <w:ind w:right="115"/>
        <w:jc w:val="both"/>
        <w:rPr>
          <w:sz w:val="22"/>
          <w:szCs w:val="22"/>
        </w:rPr>
      </w:pPr>
    </w:p>
    <w:p w14:paraId="4ED0D391" w14:textId="77777777" w:rsidR="00662733" w:rsidRPr="00002DC2" w:rsidRDefault="00662733" w:rsidP="00662733">
      <w:pPr>
        <w:widowControl w:val="0"/>
        <w:ind w:right="115"/>
        <w:jc w:val="both"/>
        <w:rPr>
          <w:rFonts w:ascii="Arial" w:eastAsia="Arial" w:hAnsi="Arial" w:cs="Arial"/>
          <w:sz w:val="22"/>
          <w:szCs w:val="22"/>
        </w:rPr>
      </w:pPr>
      <w:r>
        <w:rPr>
          <w:rFonts w:ascii="Arial" w:eastAsia="Arial" w:hAnsi="Arial" w:cs="Arial"/>
          <w:sz w:val="22"/>
          <w:szCs w:val="22"/>
        </w:rPr>
        <w:t>Our</w:t>
      </w:r>
      <w:r w:rsidRPr="00002DC2">
        <w:rPr>
          <w:rFonts w:ascii="Arial" w:eastAsia="Arial" w:hAnsi="Arial" w:cs="Arial"/>
          <w:sz w:val="22"/>
          <w:szCs w:val="22"/>
        </w:rPr>
        <w:t xml:space="preserve"> </w:t>
      </w:r>
      <w:r>
        <w:rPr>
          <w:rFonts w:ascii="Arial" w:eastAsia="Arial" w:hAnsi="Arial" w:cs="Arial"/>
          <w:sz w:val="22"/>
          <w:szCs w:val="22"/>
        </w:rPr>
        <w:t>assurance</w:t>
      </w:r>
      <w:r w:rsidRPr="00002DC2">
        <w:rPr>
          <w:rFonts w:ascii="Arial" w:eastAsia="Arial" w:hAnsi="Arial" w:cs="Arial"/>
          <w:sz w:val="22"/>
          <w:szCs w:val="22"/>
        </w:rPr>
        <w:t xml:space="preserve"> </w:t>
      </w:r>
      <w:r>
        <w:rPr>
          <w:rFonts w:ascii="Arial" w:eastAsia="Arial" w:hAnsi="Arial" w:cs="Arial"/>
          <w:sz w:val="22"/>
          <w:szCs w:val="22"/>
        </w:rPr>
        <w:t>process</w:t>
      </w:r>
      <w:r w:rsidRPr="00002DC2">
        <w:rPr>
          <w:rFonts w:ascii="Arial" w:eastAsia="Arial" w:hAnsi="Arial" w:cs="Arial"/>
          <w:sz w:val="22"/>
          <w:szCs w:val="22"/>
        </w:rPr>
        <w:t xml:space="preserve"> </w:t>
      </w:r>
      <w:r>
        <w:rPr>
          <w:rFonts w:ascii="Arial" w:eastAsia="Arial" w:hAnsi="Arial" w:cs="Arial"/>
          <w:sz w:val="22"/>
          <w:szCs w:val="22"/>
        </w:rPr>
        <w:t>is</w:t>
      </w:r>
      <w:r w:rsidRPr="00002DC2">
        <w:rPr>
          <w:rFonts w:ascii="Arial" w:eastAsia="Arial" w:hAnsi="Arial" w:cs="Arial"/>
          <w:sz w:val="22"/>
          <w:szCs w:val="22"/>
        </w:rPr>
        <w:t xml:space="preserve"> </w:t>
      </w:r>
      <w:r>
        <w:rPr>
          <w:rFonts w:ascii="Arial" w:eastAsia="Arial" w:hAnsi="Arial" w:cs="Arial"/>
          <w:sz w:val="22"/>
          <w:szCs w:val="22"/>
        </w:rPr>
        <w:t>designed</w:t>
      </w:r>
      <w:r w:rsidRPr="00002DC2">
        <w:rPr>
          <w:rFonts w:ascii="Arial" w:eastAsia="Arial" w:hAnsi="Arial" w:cs="Arial"/>
          <w:sz w:val="22"/>
          <w:szCs w:val="22"/>
        </w:rPr>
        <w:t xml:space="preserve"> </w:t>
      </w:r>
      <w:r>
        <w:rPr>
          <w:rFonts w:ascii="Arial" w:eastAsia="Arial" w:hAnsi="Arial" w:cs="Arial"/>
          <w:sz w:val="22"/>
          <w:szCs w:val="22"/>
        </w:rPr>
        <w:t>to</w:t>
      </w:r>
      <w:r w:rsidRPr="00002DC2">
        <w:rPr>
          <w:rFonts w:ascii="Arial" w:eastAsia="Arial" w:hAnsi="Arial" w:cs="Arial"/>
          <w:sz w:val="22"/>
          <w:szCs w:val="22"/>
        </w:rPr>
        <w:t xml:space="preserve"> </w:t>
      </w:r>
      <w:r>
        <w:rPr>
          <w:rFonts w:ascii="Arial" w:eastAsia="Arial" w:hAnsi="Arial" w:cs="Arial"/>
          <w:sz w:val="22"/>
          <w:szCs w:val="22"/>
        </w:rPr>
        <w:t>ensure</w:t>
      </w:r>
      <w:r w:rsidRPr="00002DC2">
        <w:rPr>
          <w:rFonts w:ascii="Arial" w:eastAsia="Arial" w:hAnsi="Arial" w:cs="Arial"/>
          <w:sz w:val="22"/>
          <w:szCs w:val="22"/>
        </w:rPr>
        <w:t xml:space="preserve"> </w:t>
      </w:r>
      <w:r>
        <w:rPr>
          <w:rFonts w:ascii="Arial" w:eastAsia="Arial" w:hAnsi="Arial" w:cs="Arial"/>
          <w:sz w:val="22"/>
          <w:szCs w:val="22"/>
        </w:rPr>
        <w:t>that</w:t>
      </w:r>
      <w:r w:rsidRPr="00002DC2">
        <w:rPr>
          <w:rFonts w:ascii="Arial" w:eastAsia="Arial" w:hAnsi="Arial" w:cs="Arial"/>
          <w:sz w:val="22"/>
          <w:szCs w:val="22"/>
        </w:rPr>
        <w:t xml:space="preserve"> </w:t>
      </w:r>
      <w:r>
        <w:rPr>
          <w:rFonts w:ascii="Arial" w:eastAsia="Arial" w:hAnsi="Arial" w:cs="Arial"/>
          <w:sz w:val="22"/>
          <w:szCs w:val="22"/>
        </w:rPr>
        <w:t>our</w:t>
      </w:r>
      <w:r w:rsidRPr="00002DC2">
        <w:rPr>
          <w:rFonts w:ascii="Arial" w:eastAsia="Arial" w:hAnsi="Arial" w:cs="Arial"/>
          <w:sz w:val="22"/>
          <w:szCs w:val="22"/>
        </w:rPr>
        <w:t xml:space="preserve"> </w:t>
      </w:r>
      <w:r>
        <w:rPr>
          <w:rFonts w:ascii="Arial" w:eastAsia="Arial" w:hAnsi="Arial" w:cs="Arial"/>
          <w:sz w:val="22"/>
          <w:szCs w:val="22"/>
        </w:rPr>
        <w:t>Business</w:t>
      </w:r>
      <w:r w:rsidRPr="00002DC2">
        <w:rPr>
          <w:rFonts w:ascii="Arial" w:eastAsia="Arial" w:hAnsi="Arial" w:cs="Arial"/>
          <w:sz w:val="22"/>
          <w:szCs w:val="22"/>
        </w:rPr>
        <w:t xml:space="preserve"> </w:t>
      </w:r>
      <w:r>
        <w:rPr>
          <w:rFonts w:ascii="Arial" w:eastAsia="Arial" w:hAnsi="Arial" w:cs="Arial"/>
          <w:sz w:val="22"/>
          <w:szCs w:val="22"/>
        </w:rPr>
        <w:t>Plan</w:t>
      </w:r>
      <w:r w:rsidRPr="00002DC2">
        <w:rPr>
          <w:rFonts w:ascii="Arial" w:eastAsia="Arial" w:hAnsi="Arial" w:cs="Arial"/>
          <w:sz w:val="22"/>
          <w:szCs w:val="22"/>
        </w:rPr>
        <w:t xml:space="preserve"> </w:t>
      </w:r>
      <w:r>
        <w:rPr>
          <w:rFonts w:ascii="Arial" w:eastAsia="Arial" w:hAnsi="Arial" w:cs="Arial"/>
          <w:sz w:val="22"/>
          <w:szCs w:val="22"/>
        </w:rPr>
        <w:t>accords</w:t>
      </w:r>
      <w:r w:rsidRPr="00002DC2">
        <w:rPr>
          <w:rFonts w:ascii="Arial" w:eastAsia="Arial" w:hAnsi="Arial" w:cs="Arial"/>
          <w:sz w:val="22"/>
          <w:szCs w:val="22"/>
        </w:rPr>
        <w:t xml:space="preserve"> </w:t>
      </w:r>
      <w:r>
        <w:rPr>
          <w:rFonts w:ascii="Arial" w:eastAsia="Arial" w:hAnsi="Arial" w:cs="Arial"/>
          <w:sz w:val="22"/>
          <w:szCs w:val="22"/>
        </w:rPr>
        <w:t xml:space="preserve">with </w:t>
      </w:r>
      <w:proofErr w:type="spellStart"/>
      <w:r>
        <w:rPr>
          <w:rFonts w:ascii="Arial" w:eastAsia="Arial" w:hAnsi="Arial" w:cs="Arial"/>
          <w:sz w:val="22"/>
          <w:szCs w:val="22"/>
        </w:rPr>
        <w:t>Ofwat’s</w:t>
      </w:r>
      <w:proofErr w:type="spellEnd"/>
      <w:r w:rsidRPr="00002DC2">
        <w:rPr>
          <w:rFonts w:ascii="Arial" w:eastAsia="Arial" w:hAnsi="Arial" w:cs="Arial"/>
          <w:sz w:val="22"/>
          <w:szCs w:val="22"/>
        </w:rPr>
        <w:t xml:space="preserve"> </w:t>
      </w:r>
      <w:r>
        <w:rPr>
          <w:rFonts w:ascii="Arial" w:eastAsia="Arial" w:hAnsi="Arial" w:cs="Arial"/>
          <w:sz w:val="22"/>
          <w:szCs w:val="22"/>
        </w:rPr>
        <w:t>me</w:t>
      </w:r>
      <w:r w:rsidRPr="00002DC2">
        <w:rPr>
          <w:rFonts w:ascii="Arial" w:eastAsia="Arial" w:hAnsi="Arial" w:cs="Arial"/>
          <w:sz w:val="22"/>
          <w:szCs w:val="22"/>
        </w:rPr>
        <w:t>t</w:t>
      </w:r>
      <w:r>
        <w:rPr>
          <w:rFonts w:ascii="Arial" w:eastAsia="Arial" w:hAnsi="Arial" w:cs="Arial"/>
          <w:sz w:val="22"/>
          <w:szCs w:val="22"/>
        </w:rPr>
        <w:t>hodology</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the</w:t>
      </w:r>
      <w:r w:rsidRPr="00002DC2">
        <w:rPr>
          <w:rFonts w:ascii="Arial" w:eastAsia="Arial" w:hAnsi="Arial" w:cs="Arial"/>
          <w:sz w:val="22"/>
          <w:szCs w:val="22"/>
        </w:rPr>
        <w:t xml:space="preserve"> </w:t>
      </w:r>
      <w:r>
        <w:rPr>
          <w:rFonts w:ascii="Arial" w:eastAsia="Arial" w:hAnsi="Arial" w:cs="Arial"/>
          <w:sz w:val="22"/>
          <w:szCs w:val="22"/>
        </w:rPr>
        <w:t>requirements</w:t>
      </w:r>
      <w:r w:rsidRPr="00002DC2">
        <w:rPr>
          <w:rFonts w:ascii="Arial" w:eastAsia="Arial" w:hAnsi="Arial" w:cs="Arial"/>
          <w:sz w:val="22"/>
          <w:szCs w:val="22"/>
        </w:rPr>
        <w:t xml:space="preserve"> </w:t>
      </w:r>
      <w:r>
        <w:rPr>
          <w:rFonts w:ascii="Arial" w:eastAsia="Arial" w:hAnsi="Arial" w:cs="Arial"/>
          <w:sz w:val="22"/>
          <w:szCs w:val="22"/>
        </w:rPr>
        <w:t>of</w:t>
      </w:r>
      <w:r w:rsidRPr="00002DC2">
        <w:rPr>
          <w:rFonts w:ascii="Arial" w:eastAsia="Arial" w:hAnsi="Arial" w:cs="Arial"/>
          <w:sz w:val="22"/>
          <w:szCs w:val="22"/>
        </w:rPr>
        <w:t xml:space="preserve"> </w:t>
      </w:r>
      <w:r>
        <w:rPr>
          <w:rFonts w:ascii="Arial" w:eastAsia="Arial" w:hAnsi="Arial" w:cs="Arial"/>
          <w:sz w:val="22"/>
          <w:szCs w:val="22"/>
        </w:rPr>
        <w:t>our</w:t>
      </w:r>
      <w:r w:rsidRPr="00002DC2">
        <w:rPr>
          <w:rFonts w:ascii="Arial" w:eastAsia="Arial" w:hAnsi="Arial" w:cs="Arial"/>
          <w:sz w:val="22"/>
          <w:szCs w:val="22"/>
        </w:rPr>
        <w:t xml:space="preserve"> </w:t>
      </w:r>
      <w:r>
        <w:rPr>
          <w:rFonts w:ascii="Arial" w:eastAsia="Arial" w:hAnsi="Arial" w:cs="Arial"/>
          <w:sz w:val="22"/>
          <w:szCs w:val="22"/>
        </w:rPr>
        <w:t>stakeholders</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customers.</w:t>
      </w:r>
      <w:r w:rsidRPr="00002DC2">
        <w:rPr>
          <w:rFonts w:ascii="Arial" w:eastAsia="Arial" w:hAnsi="Arial" w:cs="Arial"/>
          <w:sz w:val="22"/>
          <w:szCs w:val="22"/>
        </w:rPr>
        <w:t xml:space="preserve"> </w:t>
      </w:r>
      <w:r>
        <w:rPr>
          <w:rFonts w:ascii="Arial" w:eastAsia="Arial" w:hAnsi="Arial" w:cs="Arial"/>
          <w:sz w:val="22"/>
          <w:szCs w:val="22"/>
        </w:rPr>
        <w:t>The Board</w:t>
      </w:r>
      <w:r w:rsidRPr="00002DC2">
        <w:rPr>
          <w:rFonts w:ascii="Arial" w:eastAsia="Arial" w:hAnsi="Arial" w:cs="Arial"/>
          <w:sz w:val="22"/>
          <w:szCs w:val="22"/>
        </w:rPr>
        <w:t xml:space="preserve"> </w:t>
      </w:r>
      <w:r>
        <w:rPr>
          <w:rFonts w:ascii="Arial" w:eastAsia="Arial" w:hAnsi="Arial" w:cs="Arial"/>
          <w:sz w:val="22"/>
          <w:szCs w:val="22"/>
        </w:rPr>
        <w:t>has</w:t>
      </w:r>
      <w:r w:rsidRPr="00002DC2">
        <w:rPr>
          <w:rFonts w:ascii="Arial" w:eastAsia="Arial" w:hAnsi="Arial" w:cs="Arial"/>
          <w:sz w:val="22"/>
          <w:szCs w:val="22"/>
        </w:rPr>
        <w:t xml:space="preserve"> </w:t>
      </w:r>
      <w:r>
        <w:rPr>
          <w:rFonts w:ascii="Arial" w:eastAsia="Arial" w:hAnsi="Arial" w:cs="Arial"/>
          <w:sz w:val="22"/>
          <w:szCs w:val="22"/>
        </w:rPr>
        <w:t>held</w:t>
      </w:r>
      <w:r w:rsidRPr="00002DC2">
        <w:rPr>
          <w:rFonts w:ascii="Arial" w:eastAsia="Arial" w:hAnsi="Arial" w:cs="Arial"/>
          <w:sz w:val="22"/>
          <w:szCs w:val="22"/>
        </w:rPr>
        <w:t xml:space="preserve"> </w:t>
      </w:r>
      <w:r>
        <w:rPr>
          <w:rFonts w:ascii="Arial" w:eastAsia="Arial" w:hAnsi="Arial" w:cs="Arial"/>
          <w:sz w:val="22"/>
          <w:szCs w:val="22"/>
        </w:rPr>
        <w:t>the</w:t>
      </w:r>
      <w:r w:rsidRPr="00002DC2">
        <w:rPr>
          <w:rFonts w:ascii="Arial" w:eastAsia="Arial" w:hAnsi="Arial" w:cs="Arial"/>
          <w:sz w:val="22"/>
          <w:szCs w:val="22"/>
        </w:rPr>
        <w:t xml:space="preserve"> </w:t>
      </w:r>
      <w:r>
        <w:rPr>
          <w:rFonts w:ascii="Arial" w:eastAsia="Arial" w:hAnsi="Arial" w:cs="Arial"/>
          <w:sz w:val="22"/>
          <w:szCs w:val="22"/>
        </w:rPr>
        <w:t>management</w:t>
      </w:r>
      <w:r w:rsidRPr="00002DC2">
        <w:rPr>
          <w:rFonts w:ascii="Arial" w:eastAsia="Arial" w:hAnsi="Arial" w:cs="Arial"/>
          <w:sz w:val="22"/>
          <w:szCs w:val="22"/>
        </w:rPr>
        <w:t xml:space="preserve"> </w:t>
      </w:r>
      <w:r>
        <w:rPr>
          <w:rFonts w:ascii="Arial" w:eastAsia="Arial" w:hAnsi="Arial" w:cs="Arial"/>
          <w:sz w:val="22"/>
          <w:szCs w:val="22"/>
        </w:rPr>
        <w:t>team</w:t>
      </w:r>
      <w:r w:rsidRPr="00002DC2">
        <w:rPr>
          <w:rFonts w:ascii="Arial" w:eastAsia="Arial" w:hAnsi="Arial" w:cs="Arial"/>
          <w:sz w:val="22"/>
          <w:szCs w:val="22"/>
        </w:rPr>
        <w:t xml:space="preserve"> </w:t>
      </w:r>
      <w:r>
        <w:rPr>
          <w:rFonts w:ascii="Arial" w:eastAsia="Arial" w:hAnsi="Arial" w:cs="Arial"/>
          <w:sz w:val="22"/>
          <w:szCs w:val="22"/>
        </w:rPr>
        <w:t>to</w:t>
      </w:r>
      <w:r w:rsidRPr="00002DC2">
        <w:rPr>
          <w:rFonts w:ascii="Arial" w:eastAsia="Arial" w:hAnsi="Arial" w:cs="Arial"/>
          <w:sz w:val="22"/>
          <w:szCs w:val="22"/>
        </w:rPr>
        <w:t xml:space="preserve"> </w:t>
      </w:r>
      <w:r>
        <w:rPr>
          <w:rFonts w:ascii="Arial" w:eastAsia="Arial" w:hAnsi="Arial" w:cs="Arial"/>
          <w:sz w:val="22"/>
          <w:szCs w:val="22"/>
        </w:rPr>
        <w:t>account</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challenged</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tested</w:t>
      </w:r>
      <w:r w:rsidRPr="00002DC2">
        <w:rPr>
          <w:rFonts w:ascii="Arial" w:eastAsia="Arial" w:hAnsi="Arial" w:cs="Arial"/>
          <w:sz w:val="22"/>
          <w:szCs w:val="22"/>
        </w:rPr>
        <w:t xml:space="preserve"> </w:t>
      </w:r>
      <w:r>
        <w:rPr>
          <w:rFonts w:ascii="Arial" w:eastAsia="Arial" w:hAnsi="Arial" w:cs="Arial"/>
          <w:sz w:val="22"/>
          <w:szCs w:val="22"/>
        </w:rPr>
        <w:t xml:space="preserve">the proposals within our plan. We have tested our submission against the criteria Ofwat will use for their Initial Assessment of Plans and consider that it meets the criteria for a high quality, innovative and deliverable plan. We have used internal reviews and appropriately qualified independent third-party assurance providers to test the reasonableness and reliability of our plans. </w:t>
      </w:r>
    </w:p>
    <w:p w14:paraId="3C513A04" w14:textId="77777777" w:rsidR="00662733" w:rsidRPr="00002DC2" w:rsidRDefault="00662733" w:rsidP="00662733">
      <w:pPr>
        <w:widowControl w:val="0"/>
        <w:ind w:right="115"/>
        <w:jc w:val="both"/>
        <w:rPr>
          <w:rFonts w:ascii="Arial" w:eastAsia="Arial" w:hAnsi="Arial" w:cs="Arial"/>
          <w:sz w:val="22"/>
          <w:szCs w:val="22"/>
        </w:rPr>
      </w:pPr>
    </w:p>
    <w:p w14:paraId="132B8B37" w14:textId="77777777" w:rsidR="00662733" w:rsidRPr="00002DC2" w:rsidRDefault="00662733" w:rsidP="00662733">
      <w:pPr>
        <w:widowControl w:val="0"/>
        <w:ind w:right="115"/>
        <w:jc w:val="both"/>
        <w:rPr>
          <w:rFonts w:ascii="Arial" w:eastAsia="Arial" w:hAnsi="Arial" w:cs="Arial"/>
          <w:sz w:val="22"/>
          <w:szCs w:val="22"/>
        </w:rPr>
      </w:pPr>
      <w:r>
        <w:rPr>
          <w:rFonts w:ascii="Arial" w:eastAsia="Arial" w:hAnsi="Arial" w:cs="Arial"/>
          <w:sz w:val="22"/>
          <w:szCs w:val="22"/>
        </w:rPr>
        <w:t>Historic</w:t>
      </w:r>
      <w:r w:rsidRPr="00002DC2">
        <w:rPr>
          <w:rFonts w:ascii="Arial" w:eastAsia="Arial" w:hAnsi="Arial" w:cs="Arial"/>
          <w:sz w:val="22"/>
          <w:szCs w:val="22"/>
        </w:rPr>
        <w:t xml:space="preserve"> </w:t>
      </w:r>
      <w:r>
        <w:rPr>
          <w:rFonts w:ascii="Arial" w:eastAsia="Arial" w:hAnsi="Arial" w:cs="Arial"/>
          <w:sz w:val="22"/>
          <w:szCs w:val="22"/>
        </w:rPr>
        <w:t>performance</w:t>
      </w:r>
      <w:r w:rsidRPr="00002DC2">
        <w:rPr>
          <w:rFonts w:ascii="Arial" w:eastAsia="Arial" w:hAnsi="Arial" w:cs="Arial"/>
          <w:sz w:val="22"/>
          <w:szCs w:val="22"/>
        </w:rPr>
        <w:t xml:space="preserve"> </w:t>
      </w:r>
      <w:r>
        <w:rPr>
          <w:rFonts w:ascii="Arial" w:eastAsia="Arial" w:hAnsi="Arial" w:cs="Arial"/>
          <w:sz w:val="22"/>
          <w:szCs w:val="22"/>
        </w:rPr>
        <w:t>data</w:t>
      </w:r>
      <w:r w:rsidRPr="00002DC2">
        <w:rPr>
          <w:rFonts w:ascii="Arial" w:eastAsia="Arial" w:hAnsi="Arial" w:cs="Arial"/>
          <w:sz w:val="22"/>
          <w:szCs w:val="22"/>
        </w:rPr>
        <w:t xml:space="preserve"> </w:t>
      </w:r>
      <w:r>
        <w:rPr>
          <w:rFonts w:ascii="Arial" w:eastAsia="Arial" w:hAnsi="Arial" w:cs="Arial"/>
          <w:sz w:val="22"/>
          <w:szCs w:val="22"/>
        </w:rPr>
        <w:t>and forecasts have been assembled under</w:t>
      </w:r>
      <w:r w:rsidRPr="00002DC2">
        <w:rPr>
          <w:rFonts w:ascii="Arial" w:eastAsia="Arial" w:hAnsi="Arial" w:cs="Arial"/>
          <w:sz w:val="22"/>
          <w:szCs w:val="22"/>
        </w:rPr>
        <w:t xml:space="preserve"> </w:t>
      </w:r>
      <w:r>
        <w:rPr>
          <w:rFonts w:ascii="Arial" w:eastAsia="Arial" w:hAnsi="Arial" w:cs="Arial"/>
          <w:sz w:val="22"/>
          <w:szCs w:val="22"/>
        </w:rPr>
        <w:t>well-established</w:t>
      </w:r>
      <w:r w:rsidRPr="00002DC2">
        <w:rPr>
          <w:rFonts w:ascii="Arial" w:eastAsia="Arial" w:hAnsi="Arial" w:cs="Arial"/>
          <w:sz w:val="22"/>
          <w:szCs w:val="22"/>
        </w:rPr>
        <w:t xml:space="preserve"> </w:t>
      </w:r>
      <w:r>
        <w:rPr>
          <w:rFonts w:ascii="Arial" w:eastAsia="Arial" w:hAnsi="Arial" w:cs="Arial"/>
          <w:sz w:val="22"/>
          <w:szCs w:val="22"/>
        </w:rPr>
        <w:t>procedures</w:t>
      </w:r>
      <w:r w:rsidRPr="00002DC2">
        <w:rPr>
          <w:rFonts w:ascii="Arial" w:eastAsia="Arial" w:hAnsi="Arial" w:cs="Arial"/>
          <w:sz w:val="22"/>
          <w:szCs w:val="22"/>
        </w:rPr>
        <w:t xml:space="preserve"> </w:t>
      </w:r>
      <w:r>
        <w:rPr>
          <w:rFonts w:ascii="Arial" w:eastAsia="Arial" w:hAnsi="Arial" w:cs="Arial"/>
          <w:sz w:val="22"/>
          <w:szCs w:val="22"/>
        </w:rPr>
        <w:t>used</w:t>
      </w:r>
      <w:r w:rsidRPr="00002DC2">
        <w:rPr>
          <w:rFonts w:ascii="Arial" w:eastAsia="Arial" w:hAnsi="Arial" w:cs="Arial"/>
          <w:sz w:val="22"/>
          <w:szCs w:val="22"/>
        </w:rPr>
        <w:t xml:space="preserve"> </w:t>
      </w:r>
      <w:r>
        <w:rPr>
          <w:rFonts w:ascii="Arial" w:eastAsia="Arial" w:hAnsi="Arial" w:cs="Arial"/>
          <w:sz w:val="22"/>
          <w:szCs w:val="22"/>
        </w:rPr>
        <w:t>to</w:t>
      </w:r>
      <w:r w:rsidRPr="00002DC2">
        <w:rPr>
          <w:rFonts w:ascii="Arial" w:eastAsia="Arial" w:hAnsi="Arial" w:cs="Arial"/>
          <w:sz w:val="22"/>
          <w:szCs w:val="22"/>
        </w:rPr>
        <w:t xml:space="preserve"> </w:t>
      </w:r>
      <w:r>
        <w:rPr>
          <w:rFonts w:ascii="Arial" w:eastAsia="Arial" w:hAnsi="Arial" w:cs="Arial"/>
          <w:sz w:val="22"/>
          <w:szCs w:val="22"/>
        </w:rPr>
        <w:t>compile</w:t>
      </w:r>
      <w:r w:rsidRPr="00002DC2">
        <w:rPr>
          <w:rFonts w:ascii="Arial" w:eastAsia="Arial" w:hAnsi="Arial" w:cs="Arial"/>
          <w:sz w:val="22"/>
          <w:szCs w:val="22"/>
        </w:rPr>
        <w:t xml:space="preserve"> our </w:t>
      </w:r>
      <w:r>
        <w:rPr>
          <w:rFonts w:ascii="Arial" w:eastAsia="Arial" w:hAnsi="Arial" w:cs="Arial"/>
          <w:sz w:val="22"/>
          <w:szCs w:val="22"/>
        </w:rPr>
        <w:t>a</w:t>
      </w:r>
      <w:r w:rsidRPr="00002DC2">
        <w:rPr>
          <w:rFonts w:ascii="Arial" w:eastAsia="Arial" w:hAnsi="Arial" w:cs="Arial"/>
          <w:sz w:val="22"/>
          <w:szCs w:val="22"/>
        </w:rPr>
        <w:t xml:space="preserve">nnual </w:t>
      </w:r>
      <w:r>
        <w:rPr>
          <w:rFonts w:ascii="Arial" w:eastAsia="Arial" w:hAnsi="Arial" w:cs="Arial"/>
          <w:sz w:val="22"/>
          <w:szCs w:val="22"/>
        </w:rPr>
        <w:t>p</w:t>
      </w:r>
      <w:r w:rsidRPr="00002DC2">
        <w:rPr>
          <w:rFonts w:ascii="Arial" w:eastAsia="Arial" w:hAnsi="Arial" w:cs="Arial"/>
          <w:sz w:val="22"/>
          <w:szCs w:val="22"/>
        </w:rPr>
        <w:t xml:space="preserve">erformance </w:t>
      </w:r>
      <w:r>
        <w:rPr>
          <w:rFonts w:ascii="Arial" w:eastAsia="Arial" w:hAnsi="Arial" w:cs="Arial"/>
          <w:sz w:val="22"/>
          <w:szCs w:val="22"/>
        </w:rPr>
        <w:t>r</w:t>
      </w:r>
      <w:r w:rsidRPr="00002DC2">
        <w:rPr>
          <w:rFonts w:ascii="Arial" w:eastAsia="Arial" w:hAnsi="Arial" w:cs="Arial"/>
          <w:sz w:val="22"/>
          <w:szCs w:val="22"/>
        </w:rPr>
        <w:t>eports.</w:t>
      </w:r>
      <w:r>
        <w:rPr>
          <w:rFonts w:ascii="Arial" w:eastAsia="Arial" w:hAnsi="Arial" w:cs="Arial"/>
          <w:sz w:val="22"/>
          <w:szCs w:val="22"/>
        </w:rPr>
        <w:t xml:space="preserve"> Data</w:t>
      </w:r>
      <w:r w:rsidRPr="00002DC2">
        <w:rPr>
          <w:rFonts w:ascii="Arial" w:eastAsia="Arial" w:hAnsi="Arial" w:cs="Arial"/>
          <w:sz w:val="22"/>
          <w:szCs w:val="22"/>
        </w:rPr>
        <w:t xml:space="preserve"> </w:t>
      </w:r>
      <w:r>
        <w:rPr>
          <w:rFonts w:ascii="Arial" w:eastAsia="Arial" w:hAnsi="Arial" w:cs="Arial"/>
          <w:sz w:val="22"/>
          <w:szCs w:val="22"/>
        </w:rPr>
        <w:t>is collated</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checked</w:t>
      </w:r>
      <w:r w:rsidRPr="00002DC2">
        <w:rPr>
          <w:rFonts w:ascii="Arial" w:eastAsia="Arial" w:hAnsi="Arial" w:cs="Arial"/>
          <w:sz w:val="22"/>
          <w:szCs w:val="22"/>
        </w:rPr>
        <w:t xml:space="preserve"> </w:t>
      </w:r>
      <w:r>
        <w:rPr>
          <w:rFonts w:ascii="Arial" w:eastAsia="Arial" w:hAnsi="Arial" w:cs="Arial"/>
          <w:sz w:val="22"/>
          <w:szCs w:val="22"/>
        </w:rPr>
        <w:t>by</w:t>
      </w:r>
      <w:r w:rsidRPr="00002DC2">
        <w:rPr>
          <w:rFonts w:ascii="Arial" w:eastAsia="Arial" w:hAnsi="Arial" w:cs="Arial"/>
          <w:sz w:val="22"/>
          <w:szCs w:val="22"/>
        </w:rPr>
        <w:t xml:space="preserve"> </w:t>
      </w:r>
      <w:r>
        <w:rPr>
          <w:rFonts w:ascii="Arial" w:eastAsia="Arial" w:hAnsi="Arial" w:cs="Arial"/>
          <w:sz w:val="22"/>
          <w:szCs w:val="22"/>
        </w:rPr>
        <w:t>senior</w:t>
      </w:r>
      <w:r w:rsidRPr="00002DC2">
        <w:rPr>
          <w:rFonts w:ascii="Arial" w:eastAsia="Arial" w:hAnsi="Arial" w:cs="Arial"/>
          <w:sz w:val="22"/>
          <w:szCs w:val="22"/>
        </w:rPr>
        <w:t xml:space="preserve"> </w:t>
      </w:r>
      <w:r>
        <w:rPr>
          <w:rFonts w:ascii="Arial" w:eastAsia="Arial" w:hAnsi="Arial" w:cs="Arial"/>
          <w:sz w:val="22"/>
          <w:szCs w:val="22"/>
        </w:rPr>
        <w:t>managers,</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all</w:t>
      </w:r>
      <w:r w:rsidRPr="00002DC2">
        <w:rPr>
          <w:rFonts w:ascii="Arial" w:eastAsia="Arial" w:hAnsi="Arial" w:cs="Arial"/>
          <w:sz w:val="22"/>
          <w:szCs w:val="22"/>
        </w:rPr>
        <w:t xml:space="preserve"> </w:t>
      </w:r>
      <w:r>
        <w:rPr>
          <w:rFonts w:ascii="Arial" w:eastAsia="Arial" w:hAnsi="Arial" w:cs="Arial"/>
          <w:sz w:val="22"/>
          <w:szCs w:val="22"/>
        </w:rPr>
        <w:t>tables</w:t>
      </w:r>
      <w:r w:rsidRPr="00002DC2">
        <w:rPr>
          <w:rFonts w:ascii="Arial" w:eastAsia="Arial" w:hAnsi="Arial" w:cs="Arial"/>
          <w:sz w:val="22"/>
          <w:szCs w:val="22"/>
        </w:rPr>
        <w:t xml:space="preserve"> </w:t>
      </w:r>
      <w:r>
        <w:rPr>
          <w:rFonts w:ascii="Arial" w:eastAsia="Arial" w:hAnsi="Arial" w:cs="Arial"/>
          <w:sz w:val="22"/>
          <w:szCs w:val="22"/>
        </w:rPr>
        <w:t>and</w:t>
      </w:r>
      <w:r w:rsidRPr="00002DC2">
        <w:rPr>
          <w:rFonts w:ascii="Arial" w:eastAsia="Arial" w:hAnsi="Arial" w:cs="Arial"/>
          <w:sz w:val="22"/>
          <w:szCs w:val="22"/>
        </w:rPr>
        <w:t xml:space="preserve"> </w:t>
      </w:r>
      <w:r>
        <w:rPr>
          <w:rFonts w:ascii="Arial" w:eastAsia="Arial" w:hAnsi="Arial" w:cs="Arial"/>
          <w:sz w:val="22"/>
          <w:szCs w:val="22"/>
        </w:rPr>
        <w:t>commentaries are owned and reviewed by the relevant executive director. The same approach has been adopted for forecasts. The Company is ISO9001 accredited and the Company’s systems</w:t>
      </w:r>
      <w:r w:rsidRPr="00002DC2">
        <w:rPr>
          <w:rFonts w:ascii="Arial" w:eastAsia="Arial" w:hAnsi="Arial" w:cs="Arial"/>
          <w:sz w:val="22"/>
          <w:szCs w:val="22"/>
        </w:rPr>
        <w:t xml:space="preserve"> </w:t>
      </w:r>
      <w:r>
        <w:rPr>
          <w:rFonts w:ascii="Arial" w:eastAsia="Arial" w:hAnsi="Arial" w:cs="Arial"/>
          <w:sz w:val="22"/>
          <w:szCs w:val="22"/>
        </w:rPr>
        <w:t>and procedures are regularly checked and audited by internal and external auditors.</w:t>
      </w:r>
    </w:p>
    <w:p w14:paraId="088875B4" w14:textId="77777777" w:rsidR="00662733" w:rsidRDefault="00662733" w:rsidP="00662733">
      <w:pPr>
        <w:widowControl w:val="0"/>
        <w:ind w:right="115"/>
        <w:jc w:val="both"/>
        <w:rPr>
          <w:sz w:val="22"/>
          <w:szCs w:val="22"/>
        </w:rPr>
      </w:pPr>
    </w:p>
    <w:p w14:paraId="3046EEB0" w14:textId="77777777" w:rsidR="00662733" w:rsidRDefault="00662733" w:rsidP="00662733">
      <w:pPr>
        <w:widowControl w:val="0"/>
        <w:ind w:right="115"/>
        <w:jc w:val="both"/>
        <w:rPr>
          <w:sz w:val="22"/>
          <w:szCs w:val="22"/>
        </w:rPr>
      </w:pPr>
      <w:r>
        <w:rPr>
          <w:rFonts w:ascii="Arial" w:eastAsia="Arial" w:hAnsi="Arial" w:cs="Arial"/>
          <w:b/>
          <w:bCs/>
          <w:sz w:val="22"/>
          <w:szCs w:val="22"/>
        </w:rPr>
        <w:t>Assurance statements</w:t>
      </w:r>
    </w:p>
    <w:p w14:paraId="2C3FA1FE" w14:textId="77777777" w:rsidR="00662733" w:rsidRDefault="00662733" w:rsidP="00662733">
      <w:pPr>
        <w:widowControl w:val="0"/>
        <w:ind w:right="115"/>
        <w:jc w:val="both"/>
        <w:rPr>
          <w:sz w:val="22"/>
          <w:szCs w:val="22"/>
        </w:rPr>
      </w:pPr>
    </w:p>
    <w:p w14:paraId="20364EC3" w14:textId="77777777" w:rsidR="00662733" w:rsidRDefault="00662733" w:rsidP="00662733">
      <w:pPr>
        <w:widowControl w:val="0"/>
        <w:ind w:right="115"/>
        <w:jc w:val="both"/>
        <w:rPr>
          <w:sz w:val="22"/>
          <w:szCs w:val="22"/>
        </w:rPr>
      </w:pPr>
      <w:r>
        <w:rPr>
          <w:rFonts w:ascii="Arial" w:eastAsia="Arial" w:hAnsi="Arial" w:cs="Arial"/>
          <w:sz w:val="22"/>
          <w:szCs w:val="22"/>
        </w:rPr>
        <w:t>The Board confirms that:</w:t>
      </w:r>
    </w:p>
    <w:p w14:paraId="5E785F3D" w14:textId="77777777" w:rsidR="00662733" w:rsidRDefault="00662733" w:rsidP="00662733">
      <w:pPr>
        <w:widowControl w:val="0"/>
        <w:ind w:right="115"/>
        <w:jc w:val="both"/>
        <w:rPr>
          <w:sz w:val="22"/>
          <w:szCs w:val="22"/>
        </w:rPr>
      </w:pPr>
    </w:p>
    <w:p w14:paraId="4AEA7D2D" w14:textId="77777777" w:rsidR="00662733" w:rsidRDefault="00662733" w:rsidP="00662733">
      <w:pPr>
        <w:widowControl w:val="0"/>
        <w:numPr>
          <w:ilvl w:val="0"/>
          <w:numId w:val="1"/>
        </w:numPr>
        <w:pBdr>
          <w:left w:val="none" w:sz="0" w:space="7" w:color="auto"/>
        </w:pBdr>
        <w:ind w:left="714" w:right="113" w:hanging="427"/>
        <w:jc w:val="both"/>
        <w:rPr>
          <w:sz w:val="22"/>
          <w:szCs w:val="22"/>
        </w:rPr>
      </w:pPr>
      <w:r>
        <w:rPr>
          <w:rFonts w:ascii="Arial" w:eastAsia="Arial" w:hAnsi="Arial" w:cs="Arial"/>
          <w:sz w:val="22"/>
          <w:szCs w:val="22"/>
        </w:rPr>
        <w:t xml:space="preserve">We consider that all the elements of our PR19 Business Plan submission add up to a </w:t>
      </w:r>
      <w:proofErr w:type="gramStart"/>
      <w:r>
        <w:rPr>
          <w:rFonts w:ascii="Arial" w:eastAsia="Arial" w:hAnsi="Arial" w:cs="Arial"/>
          <w:sz w:val="22"/>
          <w:szCs w:val="22"/>
        </w:rPr>
        <w:t>high quality</w:t>
      </w:r>
      <w:proofErr w:type="gramEnd"/>
      <w:r>
        <w:rPr>
          <w:rFonts w:ascii="Arial" w:eastAsia="Arial" w:hAnsi="Arial" w:cs="Arial"/>
          <w:sz w:val="22"/>
          <w:szCs w:val="22"/>
        </w:rPr>
        <w:t xml:space="preserve"> plan that is deliverable with the resources proposed</w:t>
      </w:r>
    </w:p>
    <w:p w14:paraId="20D11545" w14:textId="77777777" w:rsidR="00662733" w:rsidRDefault="00662733" w:rsidP="00662733">
      <w:pPr>
        <w:widowControl w:val="0"/>
        <w:numPr>
          <w:ilvl w:val="0"/>
          <w:numId w:val="1"/>
        </w:numPr>
        <w:pBdr>
          <w:left w:val="none" w:sz="0" w:space="7" w:color="auto"/>
        </w:pBdr>
        <w:ind w:left="714" w:right="113" w:hanging="427"/>
        <w:jc w:val="both"/>
        <w:rPr>
          <w:sz w:val="22"/>
          <w:szCs w:val="22"/>
        </w:rPr>
      </w:pPr>
      <w:r>
        <w:rPr>
          <w:rFonts w:ascii="Arial" w:eastAsia="Arial" w:hAnsi="Arial" w:cs="Arial"/>
          <w:sz w:val="22"/>
          <w:szCs w:val="22"/>
        </w:rPr>
        <w:t>We have challenged management on a regular basis, and using our knowledge of past performance and future plans, have satisfied ourselves that plans are stretching but realistic</w:t>
      </w:r>
    </w:p>
    <w:p w14:paraId="1029BD74" w14:textId="77777777" w:rsidR="00662733" w:rsidRDefault="00662733" w:rsidP="00662733">
      <w:pPr>
        <w:widowControl w:val="0"/>
        <w:numPr>
          <w:ilvl w:val="0"/>
          <w:numId w:val="1"/>
        </w:numPr>
        <w:pBdr>
          <w:left w:val="none" w:sz="0" w:space="7" w:color="auto"/>
        </w:pBdr>
        <w:ind w:left="714" w:right="113" w:hanging="427"/>
        <w:jc w:val="both"/>
        <w:rPr>
          <w:sz w:val="22"/>
          <w:szCs w:val="22"/>
        </w:rPr>
      </w:pPr>
      <w:r>
        <w:rPr>
          <w:rFonts w:ascii="Arial" w:eastAsia="Arial" w:hAnsi="Arial" w:cs="Arial"/>
          <w:sz w:val="22"/>
          <w:szCs w:val="22"/>
        </w:rPr>
        <w:t>We are satisfied that our plan will deliver operational, financial and corporate resilience to at least 2030</w:t>
      </w:r>
    </w:p>
    <w:p w14:paraId="2C55C643" w14:textId="77777777" w:rsidR="00662733" w:rsidRDefault="00662733" w:rsidP="00662733">
      <w:pPr>
        <w:widowControl w:val="0"/>
        <w:numPr>
          <w:ilvl w:val="0"/>
          <w:numId w:val="1"/>
        </w:numPr>
        <w:pBdr>
          <w:left w:val="none" w:sz="0" w:space="7" w:color="auto"/>
        </w:pBdr>
        <w:ind w:left="714" w:right="113" w:hanging="427"/>
        <w:jc w:val="both"/>
        <w:rPr>
          <w:sz w:val="22"/>
          <w:szCs w:val="22"/>
        </w:rPr>
      </w:pPr>
      <w:r>
        <w:rPr>
          <w:rFonts w:ascii="Arial" w:eastAsia="Arial" w:hAnsi="Arial" w:cs="Arial"/>
          <w:sz w:val="22"/>
          <w:szCs w:val="22"/>
        </w:rPr>
        <w:t>Our plan will deliver outcomes that are consistent with our legal obligations, the Government’s strategic policy statements and regulatory guidance</w:t>
      </w:r>
    </w:p>
    <w:p w14:paraId="71A3B7E0" w14:textId="77777777" w:rsidR="00662733" w:rsidRDefault="00662733" w:rsidP="00662733">
      <w:pPr>
        <w:widowControl w:val="0"/>
        <w:numPr>
          <w:ilvl w:val="0"/>
          <w:numId w:val="1"/>
        </w:numPr>
        <w:pBdr>
          <w:left w:val="none" w:sz="0" w:space="7" w:color="auto"/>
        </w:pBdr>
        <w:ind w:left="714" w:right="113" w:hanging="427"/>
        <w:jc w:val="both"/>
        <w:rPr>
          <w:sz w:val="22"/>
          <w:szCs w:val="22"/>
        </w:rPr>
      </w:pPr>
      <w:r>
        <w:rPr>
          <w:rFonts w:ascii="Arial" w:eastAsia="Arial" w:hAnsi="Arial" w:cs="Arial"/>
          <w:sz w:val="22"/>
          <w:szCs w:val="22"/>
        </w:rPr>
        <w:t>Our plan will underpin a continued level of trust and confidence from the communities we serve, through promoting t</w:t>
      </w:r>
      <w:bookmarkStart w:id="0" w:name="_GoBack"/>
      <w:bookmarkEnd w:id="0"/>
      <w:r>
        <w:rPr>
          <w:rFonts w:ascii="Arial" w:eastAsia="Arial" w:hAnsi="Arial" w:cs="Arial"/>
          <w:sz w:val="22"/>
          <w:szCs w:val="22"/>
        </w:rPr>
        <w:t>ransparency and engagement on issues that matter to them.</w:t>
      </w:r>
    </w:p>
    <w:p w14:paraId="30D20DC7" w14:textId="77777777" w:rsidR="00662733" w:rsidRDefault="00662733" w:rsidP="00662733">
      <w:pPr>
        <w:widowControl w:val="0"/>
        <w:ind w:right="115"/>
        <w:jc w:val="both"/>
        <w:rPr>
          <w:sz w:val="22"/>
          <w:szCs w:val="22"/>
        </w:rPr>
      </w:pPr>
    </w:p>
    <w:p w14:paraId="05675972" w14:textId="77777777" w:rsidR="00662733" w:rsidRDefault="00662733" w:rsidP="00662733">
      <w:pPr>
        <w:widowControl w:val="0"/>
        <w:spacing w:before="36"/>
        <w:ind w:right="95"/>
        <w:jc w:val="both"/>
        <w:rPr>
          <w:sz w:val="22"/>
          <w:szCs w:val="22"/>
        </w:rPr>
      </w:pPr>
      <w:r>
        <w:rPr>
          <w:rFonts w:ascii="Arial" w:eastAsia="Arial" w:hAnsi="Arial" w:cs="Arial"/>
          <w:sz w:val="22"/>
          <w:szCs w:val="22"/>
        </w:rPr>
        <w:t>We confirm that, at its meeting on 20 August 2018, the full Board reviewed the Company’s PR19 Business Plan and approved its submission to Ofwat. We consider that the plan in the round proposes a package that meets our customers’ expectations and will be well received by them.</w:t>
      </w:r>
    </w:p>
    <w:p w14:paraId="68DF2F32" w14:textId="77777777" w:rsidR="00662733" w:rsidRDefault="00662733" w:rsidP="00662733">
      <w:pPr>
        <w:widowControl w:val="0"/>
        <w:spacing w:before="36"/>
        <w:ind w:right="95"/>
        <w:jc w:val="both"/>
        <w:rPr>
          <w:sz w:val="22"/>
          <w:szCs w:val="22"/>
        </w:rPr>
      </w:pPr>
    </w:p>
    <w:p w14:paraId="552287A0" w14:textId="11227281" w:rsidR="00662733" w:rsidRDefault="00662733" w:rsidP="00662733">
      <w:pPr>
        <w:widowControl w:val="0"/>
        <w:spacing w:before="36"/>
        <w:ind w:right="95"/>
        <w:jc w:val="both"/>
        <w:rPr>
          <w:rFonts w:ascii="Arial" w:eastAsia="Arial" w:hAnsi="Arial" w:cs="Arial"/>
          <w:sz w:val="22"/>
          <w:szCs w:val="22"/>
        </w:rPr>
      </w:pPr>
      <w:r>
        <w:rPr>
          <w:rFonts w:ascii="Arial" w:eastAsia="Arial" w:hAnsi="Arial" w:cs="Arial"/>
          <w:sz w:val="22"/>
          <w:szCs w:val="22"/>
        </w:rPr>
        <w:t>Signed by:</w:t>
      </w:r>
    </w:p>
    <w:p w14:paraId="718F8944" w14:textId="77777777" w:rsidR="00400262" w:rsidRDefault="00400262" w:rsidP="00662733">
      <w:pPr>
        <w:widowControl w:val="0"/>
        <w:spacing w:before="36"/>
        <w:ind w:right="95"/>
        <w:jc w:val="both"/>
        <w:rPr>
          <w:rFonts w:ascii="Arial" w:eastAsia="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3431"/>
      </w:tblGrid>
      <w:tr w:rsidR="00662733" w14:paraId="571C709F" w14:textId="77777777" w:rsidTr="00662733">
        <w:tc>
          <w:tcPr>
            <w:tcW w:w="5595" w:type="dxa"/>
            <w:vAlign w:val="center"/>
          </w:tcPr>
          <w:p w14:paraId="7EAB4FE4" w14:textId="77777777" w:rsidR="00662733" w:rsidRDefault="00662733" w:rsidP="00F769C1">
            <w:pPr>
              <w:widowControl w:val="0"/>
              <w:spacing w:before="36"/>
              <w:ind w:right="95"/>
              <w:jc w:val="both"/>
              <w:rPr>
                <w:sz w:val="22"/>
                <w:szCs w:val="22"/>
              </w:rPr>
            </w:pPr>
            <w:r>
              <w:rPr>
                <w:rFonts w:ascii="Arial" w:eastAsia="Arial" w:hAnsi="Arial" w:cs="Arial"/>
                <w:sz w:val="22"/>
                <w:szCs w:val="22"/>
              </w:rPr>
              <w:t>Jeremy Pelczer, Chairman</w:t>
            </w:r>
          </w:p>
        </w:tc>
        <w:tc>
          <w:tcPr>
            <w:tcW w:w="3431" w:type="dxa"/>
          </w:tcPr>
          <w:p w14:paraId="0D24C814" w14:textId="77777777" w:rsidR="00662733" w:rsidRDefault="00662733" w:rsidP="00F769C1">
            <w:pPr>
              <w:widowControl w:val="0"/>
              <w:spacing w:before="36"/>
              <w:ind w:right="95"/>
              <w:jc w:val="both"/>
              <w:rPr>
                <w:sz w:val="22"/>
                <w:szCs w:val="22"/>
              </w:rPr>
            </w:pPr>
            <w:r>
              <w:rPr>
                <w:rFonts w:ascii="Arial" w:eastAsia="Arial" w:hAnsi="Arial" w:cs="Arial"/>
                <w:noProof/>
                <w:sz w:val="22"/>
                <w:szCs w:val="22"/>
                <w:lang w:val="en-GB" w:eastAsia="en-GB"/>
              </w:rPr>
              <w:drawing>
                <wp:inline distT="0" distB="0" distL="0" distR="0" wp14:anchorId="684E33C2" wp14:editId="1B249230">
                  <wp:extent cx="1200912" cy="429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y 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912" cy="429768"/>
                          </a:xfrm>
                          <a:prstGeom prst="rect">
                            <a:avLst/>
                          </a:prstGeom>
                        </pic:spPr>
                      </pic:pic>
                    </a:graphicData>
                  </a:graphic>
                </wp:inline>
              </w:drawing>
            </w:r>
          </w:p>
        </w:tc>
      </w:tr>
      <w:tr w:rsidR="00662733" w:rsidRPr="00BE29C5" w14:paraId="2644EC98" w14:textId="77777777" w:rsidTr="00662733">
        <w:tc>
          <w:tcPr>
            <w:tcW w:w="5595" w:type="dxa"/>
            <w:vAlign w:val="center"/>
          </w:tcPr>
          <w:p w14:paraId="791956EE"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5C28DA20"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2AFFC21B" w14:textId="77777777" w:rsidTr="00662733">
        <w:tc>
          <w:tcPr>
            <w:tcW w:w="5595" w:type="dxa"/>
            <w:vAlign w:val="center"/>
          </w:tcPr>
          <w:p w14:paraId="3D355D6F"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Murray Legg, Senior Independent Non-executive</w:t>
            </w:r>
          </w:p>
        </w:tc>
        <w:tc>
          <w:tcPr>
            <w:tcW w:w="3431" w:type="dxa"/>
          </w:tcPr>
          <w:p w14:paraId="434E3979"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650906D0" wp14:editId="26574F6D">
                  <wp:extent cx="990600" cy="42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rray Legg.jpg"/>
                          <pic:cNvPicPr/>
                        </pic:nvPicPr>
                        <pic:blipFill>
                          <a:blip r:embed="rId6">
                            <a:extLst>
                              <a:ext uri="{28A0092B-C50C-407E-A947-70E740481C1C}">
                                <a14:useLocalDpi xmlns:a14="http://schemas.microsoft.com/office/drawing/2010/main" val="0"/>
                              </a:ext>
                            </a:extLst>
                          </a:blip>
                          <a:stretch>
                            <a:fillRect/>
                          </a:stretch>
                        </pic:blipFill>
                        <pic:spPr>
                          <a:xfrm>
                            <a:off x="0" y="0"/>
                            <a:ext cx="996788" cy="423831"/>
                          </a:xfrm>
                          <a:prstGeom prst="rect">
                            <a:avLst/>
                          </a:prstGeom>
                        </pic:spPr>
                      </pic:pic>
                    </a:graphicData>
                  </a:graphic>
                </wp:inline>
              </w:drawing>
            </w:r>
          </w:p>
        </w:tc>
      </w:tr>
      <w:tr w:rsidR="00662733" w:rsidRPr="00BE29C5" w14:paraId="314B6E6D" w14:textId="77777777" w:rsidTr="00662733">
        <w:tc>
          <w:tcPr>
            <w:tcW w:w="5595" w:type="dxa"/>
            <w:vAlign w:val="center"/>
          </w:tcPr>
          <w:p w14:paraId="30C655E8"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43DA85CA"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18266FDA" w14:textId="77777777" w:rsidTr="00662733">
        <w:tc>
          <w:tcPr>
            <w:tcW w:w="5595" w:type="dxa"/>
            <w:vAlign w:val="center"/>
          </w:tcPr>
          <w:p w14:paraId="35D80F7C"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Dave Shemmans, Independent Non-executive</w:t>
            </w:r>
          </w:p>
        </w:tc>
        <w:tc>
          <w:tcPr>
            <w:tcW w:w="3431" w:type="dxa"/>
          </w:tcPr>
          <w:p w14:paraId="3CD6D141"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7E8ED7B8" wp14:editId="48F6A6DA">
                  <wp:extent cx="1228725" cy="398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e Shemm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507" cy="427103"/>
                          </a:xfrm>
                          <a:prstGeom prst="rect">
                            <a:avLst/>
                          </a:prstGeom>
                        </pic:spPr>
                      </pic:pic>
                    </a:graphicData>
                  </a:graphic>
                </wp:inline>
              </w:drawing>
            </w:r>
          </w:p>
        </w:tc>
      </w:tr>
      <w:tr w:rsidR="00662733" w:rsidRPr="00BE29C5" w14:paraId="770A4A1A" w14:textId="77777777" w:rsidTr="00662733">
        <w:tc>
          <w:tcPr>
            <w:tcW w:w="5595" w:type="dxa"/>
            <w:vAlign w:val="center"/>
          </w:tcPr>
          <w:p w14:paraId="159DAB61"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5CC47005"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5C2DCD19" w14:textId="77777777" w:rsidTr="00662733">
        <w:tc>
          <w:tcPr>
            <w:tcW w:w="5595" w:type="dxa"/>
            <w:vAlign w:val="center"/>
          </w:tcPr>
          <w:p w14:paraId="60C9C2ED"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Jon Woods, Independent Non-executive</w:t>
            </w:r>
          </w:p>
        </w:tc>
        <w:tc>
          <w:tcPr>
            <w:tcW w:w="3431" w:type="dxa"/>
          </w:tcPr>
          <w:p w14:paraId="3747E520"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396BE086" wp14:editId="7A913AA9">
                  <wp:extent cx="1524000" cy="399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n Woods.jpg"/>
                          <pic:cNvPicPr/>
                        </pic:nvPicPr>
                        <pic:blipFill>
                          <a:blip r:embed="rId8">
                            <a:extLst>
                              <a:ext uri="{28A0092B-C50C-407E-A947-70E740481C1C}">
                                <a14:useLocalDpi xmlns:a14="http://schemas.microsoft.com/office/drawing/2010/main" val="0"/>
                              </a:ext>
                            </a:extLst>
                          </a:blip>
                          <a:stretch>
                            <a:fillRect/>
                          </a:stretch>
                        </pic:blipFill>
                        <pic:spPr>
                          <a:xfrm>
                            <a:off x="0" y="0"/>
                            <a:ext cx="1585532" cy="415485"/>
                          </a:xfrm>
                          <a:prstGeom prst="rect">
                            <a:avLst/>
                          </a:prstGeom>
                        </pic:spPr>
                      </pic:pic>
                    </a:graphicData>
                  </a:graphic>
                </wp:inline>
              </w:drawing>
            </w:r>
          </w:p>
        </w:tc>
      </w:tr>
      <w:tr w:rsidR="00662733" w:rsidRPr="00BE29C5" w14:paraId="2E713A94" w14:textId="77777777" w:rsidTr="00662733">
        <w:tc>
          <w:tcPr>
            <w:tcW w:w="5595" w:type="dxa"/>
            <w:vAlign w:val="center"/>
          </w:tcPr>
          <w:p w14:paraId="64221511"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0A8F16FA"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113ED690" w14:textId="77777777" w:rsidTr="00662733">
        <w:tc>
          <w:tcPr>
            <w:tcW w:w="5595" w:type="dxa"/>
            <w:vAlign w:val="center"/>
          </w:tcPr>
          <w:p w14:paraId="48E11DBA"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Yoichi Sakai, Shareholder Nominated Non-executive</w:t>
            </w:r>
          </w:p>
        </w:tc>
        <w:tc>
          <w:tcPr>
            <w:tcW w:w="3431" w:type="dxa"/>
          </w:tcPr>
          <w:p w14:paraId="7F3E39DD"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30845843" wp14:editId="603AC759">
                  <wp:extent cx="1038225" cy="4179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ichi Sakai.jpg.png"/>
                          <pic:cNvPicPr/>
                        </pic:nvPicPr>
                        <pic:blipFill>
                          <a:blip r:embed="rId9">
                            <a:extLst>
                              <a:ext uri="{28A0092B-C50C-407E-A947-70E740481C1C}">
                                <a14:useLocalDpi xmlns:a14="http://schemas.microsoft.com/office/drawing/2010/main" val="0"/>
                              </a:ext>
                            </a:extLst>
                          </a:blip>
                          <a:stretch>
                            <a:fillRect/>
                          </a:stretch>
                        </pic:blipFill>
                        <pic:spPr>
                          <a:xfrm>
                            <a:off x="0" y="0"/>
                            <a:ext cx="1087295" cy="437741"/>
                          </a:xfrm>
                          <a:prstGeom prst="rect">
                            <a:avLst/>
                          </a:prstGeom>
                        </pic:spPr>
                      </pic:pic>
                    </a:graphicData>
                  </a:graphic>
                </wp:inline>
              </w:drawing>
            </w:r>
          </w:p>
        </w:tc>
      </w:tr>
      <w:tr w:rsidR="00662733" w:rsidRPr="00BE29C5" w14:paraId="74E0DD5A" w14:textId="77777777" w:rsidTr="00662733">
        <w:tc>
          <w:tcPr>
            <w:tcW w:w="5595" w:type="dxa"/>
            <w:vAlign w:val="center"/>
          </w:tcPr>
          <w:p w14:paraId="32BA0EC8"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26D5D88A"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190F05DD" w14:textId="77777777" w:rsidTr="00662733">
        <w:tc>
          <w:tcPr>
            <w:tcW w:w="5595" w:type="dxa"/>
            <w:vAlign w:val="center"/>
          </w:tcPr>
          <w:p w14:paraId="7198C0E0" w14:textId="77777777" w:rsidR="00662733" w:rsidRDefault="00662733" w:rsidP="00662733">
            <w:pPr>
              <w:widowControl w:val="0"/>
              <w:spacing w:before="36"/>
              <w:ind w:right="95"/>
              <w:rPr>
                <w:rFonts w:ascii="Arial" w:eastAsia="Arial" w:hAnsi="Arial" w:cs="Arial"/>
                <w:sz w:val="22"/>
                <w:szCs w:val="22"/>
              </w:rPr>
            </w:pPr>
            <w:r>
              <w:rPr>
                <w:rFonts w:ascii="Arial" w:eastAsia="Arial" w:hAnsi="Arial" w:cs="Arial"/>
                <w:sz w:val="22"/>
                <w:szCs w:val="22"/>
              </w:rPr>
              <w:t>Ryuichi Nishida, Shareholder Nominated Non-executive</w:t>
            </w:r>
          </w:p>
        </w:tc>
        <w:tc>
          <w:tcPr>
            <w:tcW w:w="3431" w:type="dxa"/>
          </w:tcPr>
          <w:p w14:paraId="0C2C42E5"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49FE8656" wp14:editId="44746563">
                  <wp:extent cx="1228725" cy="397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yu Nishi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2919" cy="405556"/>
                          </a:xfrm>
                          <a:prstGeom prst="rect">
                            <a:avLst/>
                          </a:prstGeom>
                        </pic:spPr>
                      </pic:pic>
                    </a:graphicData>
                  </a:graphic>
                </wp:inline>
              </w:drawing>
            </w:r>
          </w:p>
        </w:tc>
      </w:tr>
      <w:tr w:rsidR="00662733" w:rsidRPr="00BE29C5" w14:paraId="31FCE07B" w14:textId="77777777" w:rsidTr="00662733">
        <w:tc>
          <w:tcPr>
            <w:tcW w:w="5595" w:type="dxa"/>
            <w:vAlign w:val="center"/>
          </w:tcPr>
          <w:p w14:paraId="7060AB60"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479B75A4"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0B2035FB" w14:textId="77777777" w:rsidTr="00662733">
        <w:tc>
          <w:tcPr>
            <w:tcW w:w="5595" w:type="dxa"/>
            <w:vAlign w:val="center"/>
          </w:tcPr>
          <w:p w14:paraId="4D3CA899"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Anthony Ferrar, Managing Director</w:t>
            </w:r>
          </w:p>
        </w:tc>
        <w:tc>
          <w:tcPr>
            <w:tcW w:w="3431" w:type="dxa"/>
          </w:tcPr>
          <w:p w14:paraId="2B1CCE39"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40626021" wp14:editId="190EB1AD">
                  <wp:extent cx="1514475" cy="3835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hony Ferrar's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9830" cy="400132"/>
                          </a:xfrm>
                          <a:prstGeom prst="rect">
                            <a:avLst/>
                          </a:prstGeom>
                        </pic:spPr>
                      </pic:pic>
                    </a:graphicData>
                  </a:graphic>
                </wp:inline>
              </w:drawing>
            </w:r>
          </w:p>
        </w:tc>
      </w:tr>
      <w:tr w:rsidR="00662733" w:rsidRPr="00BE29C5" w14:paraId="43C0A3F7" w14:textId="77777777" w:rsidTr="00662733">
        <w:tc>
          <w:tcPr>
            <w:tcW w:w="5595" w:type="dxa"/>
            <w:vAlign w:val="center"/>
          </w:tcPr>
          <w:p w14:paraId="6DC3866B"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0108A578"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1A0C82B6" w14:textId="77777777" w:rsidTr="00662733">
        <w:tc>
          <w:tcPr>
            <w:tcW w:w="5595" w:type="dxa"/>
            <w:vAlign w:val="center"/>
          </w:tcPr>
          <w:p w14:paraId="505F1D7D"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Paul Kerr, Finance and Regulation Director</w:t>
            </w:r>
          </w:p>
        </w:tc>
        <w:tc>
          <w:tcPr>
            <w:tcW w:w="3431" w:type="dxa"/>
          </w:tcPr>
          <w:p w14:paraId="6BFB12C8"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63C2EB99" wp14:editId="47D53DCC">
                  <wp:extent cx="1304925" cy="3838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ul Ker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7861" cy="402312"/>
                          </a:xfrm>
                          <a:prstGeom prst="rect">
                            <a:avLst/>
                          </a:prstGeom>
                        </pic:spPr>
                      </pic:pic>
                    </a:graphicData>
                  </a:graphic>
                </wp:inline>
              </w:drawing>
            </w:r>
          </w:p>
        </w:tc>
      </w:tr>
      <w:tr w:rsidR="00662733" w:rsidRPr="00BE29C5" w14:paraId="31A97362" w14:textId="77777777" w:rsidTr="00662733">
        <w:tc>
          <w:tcPr>
            <w:tcW w:w="5595" w:type="dxa"/>
            <w:vAlign w:val="center"/>
          </w:tcPr>
          <w:p w14:paraId="6CFF43ED" w14:textId="77777777" w:rsidR="00662733" w:rsidRPr="00BE29C5" w:rsidRDefault="00662733" w:rsidP="00F769C1">
            <w:pPr>
              <w:widowControl w:val="0"/>
              <w:spacing w:before="36"/>
              <w:ind w:right="95"/>
              <w:jc w:val="both"/>
              <w:rPr>
                <w:rFonts w:ascii="Arial" w:eastAsia="Arial" w:hAnsi="Arial" w:cs="Arial"/>
                <w:sz w:val="6"/>
                <w:szCs w:val="22"/>
              </w:rPr>
            </w:pPr>
          </w:p>
        </w:tc>
        <w:tc>
          <w:tcPr>
            <w:tcW w:w="3431" w:type="dxa"/>
          </w:tcPr>
          <w:p w14:paraId="17DDC3B3" w14:textId="77777777" w:rsidR="00662733" w:rsidRPr="00BE29C5" w:rsidRDefault="00662733" w:rsidP="00F769C1">
            <w:pPr>
              <w:widowControl w:val="0"/>
              <w:spacing w:before="36"/>
              <w:ind w:right="95"/>
              <w:jc w:val="both"/>
              <w:rPr>
                <w:rFonts w:ascii="Arial" w:eastAsia="Arial" w:hAnsi="Arial" w:cs="Arial"/>
                <w:noProof/>
                <w:sz w:val="6"/>
                <w:szCs w:val="22"/>
                <w:lang w:val="en-GB" w:eastAsia="en-GB"/>
              </w:rPr>
            </w:pPr>
          </w:p>
        </w:tc>
      </w:tr>
      <w:tr w:rsidR="00662733" w14:paraId="7FE75253" w14:textId="77777777" w:rsidTr="00662733">
        <w:tc>
          <w:tcPr>
            <w:tcW w:w="5595" w:type="dxa"/>
            <w:vAlign w:val="center"/>
          </w:tcPr>
          <w:p w14:paraId="4CBC49C6" w14:textId="77777777" w:rsidR="00662733" w:rsidRDefault="00662733" w:rsidP="00F769C1">
            <w:pPr>
              <w:widowControl w:val="0"/>
              <w:spacing w:before="36"/>
              <w:ind w:right="95"/>
              <w:jc w:val="both"/>
              <w:rPr>
                <w:rFonts w:ascii="Arial" w:eastAsia="Arial" w:hAnsi="Arial" w:cs="Arial"/>
                <w:sz w:val="22"/>
                <w:szCs w:val="22"/>
              </w:rPr>
            </w:pPr>
            <w:r>
              <w:rPr>
                <w:rFonts w:ascii="Arial" w:eastAsia="Arial" w:hAnsi="Arial" w:cs="Arial"/>
                <w:sz w:val="22"/>
                <w:szCs w:val="22"/>
              </w:rPr>
              <w:t>John Chadwick, Regulation Director</w:t>
            </w:r>
          </w:p>
        </w:tc>
        <w:tc>
          <w:tcPr>
            <w:tcW w:w="3431" w:type="dxa"/>
          </w:tcPr>
          <w:p w14:paraId="6E66FC3B" w14:textId="77777777" w:rsidR="00662733" w:rsidRDefault="00662733" w:rsidP="00F769C1">
            <w:pPr>
              <w:widowControl w:val="0"/>
              <w:spacing w:before="36"/>
              <w:ind w:right="95"/>
              <w:jc w:val="both"/>
              <w:rPr>
                <w:rFonts w:ascii="Arial" w:eastAsia="Arial" w:hAnsi="Arial" w:cs="Arial"/>
                <w:noProof/>
                <w:sz w:val="22"/>
                <w:szCs w:val="22"/>
                <w:lang w:val="en-GB" w:eastAsia="en-GB"/>
              </w:rPr>
            </w:pPr>
            <w:r>
              <w:rPr>
                <w:rFonts w:ascii="Arial" w:eastAsia="Arial" w:hAnsi="Arial" w:cs="Arial"/>
                <w:noProof/>
                <w:sz w:val="22"/>
                <w:szCs w:val="22"/>
                <w:lang w:val="en-GB" w:eastAsia="en-GB"/>
              </w:rPr>
              <w:drawing>
                <wp:inline distT="0" distB="0" distL="0" distR="0" wp14:anchorId="5AB0A68E" wp14:editId="45F2818F">
                  <wp:extent cx="983166"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n Chadwi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9874" cy="458965"/>
                          </a:xfrm>
                          <a:prstGeom prst="rect">
                            <a:avLst/>
                          </a:prstGeom>
                        </pic:spPr>
                      </pic:pic>
                    </a:graphicData>
                  </a:graphic>
                </wp:inline>
              </w:drawing>
            </w:r>
          </w:p>
        </w:tc>
      </w:tr>
    </w:tbl>
    <w:p w14:paraId="1B87838A" w14:textId="77777777" w:rsidR="00BC0F4C" w:rsidRDefault="00BC0F4C" w:rsidP="00400262"/>
    <w:sectPr w:rsidR="00BC0F4C" w:rsidSect="004002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5C9E9374">
      <w:start w:val="1"/>
      <w:numFmt w:val="bullet"/>
      <w:lvlText w:val=""/>
      <w:lvlJc w:val="left"/>
      <w:pPr>
        <w:ind w:left="720" w:hanging="360"/>
      </w:pPr>
      <w:rPr>
        <w:rFonts w:ascii="Symbol" w:hAnsi="Symbol"/>
        <w:b w:val="0"/>
        <w:bCs w:val="0"/>
      </w:rPr>
    </w:lvl>
    <w:lvl w:ilvl="1" w:tplc="523C30CE">
      <w:start w:val="1"/>
      <w:numFmt w:val="bullet"/>
      <w:lvlText w:val="o"/>
      <w:lvlJc w:val="left"/>
      <w:pPr>
        <w:tabs>
          <w:tab w:val="num" w:pos="1440"/>
        </w:tabs>
        <w:ind w:left="1440" w:hanging="360"/>
      </w:pPr>
      <w:rPr>
        <w:rFonts w:ascii="Courier New" w:hAnsi="Courier New"/>
      </w:rPr>
    </w:lvl>
    <w:lvl w:ilvl="2" w:tplc="CF4C5164">
      <w:start w:val="1"/>
      <w:numFmt w:val="bullet"/>
      <w:lvlText w:val=""/>
      <w:lvlJc w:val="left"/>
      <w:pPr>
        <w:tabs>
          <w:tab w:val="num" w:pos="2160"/>
        </w:tabs>
        <w:ind w:left="2160" w:hanging="360"/>
      </w:pPr>
      <w:rPr>
        <w:rFonts w:ascii="Wingdings" w:hAnsi="Wingdings"/>
      </w:rPr>
    </w:lvl>
    <w:lvl w:ilvl="3" w:tplc="F42CD236">
      <w:start w:val="1"/>
      <w:numFmt w:val="bullet"/>
      <w:lvlText w:val=""/>
      <w:lvlJc w:val="left"/>
      <w:pPr>
        <w:tabs>
          <w:tab w:val="num" w:pos="2880"/>
        </w:tabs>
        <w:ind w:left="2880" w:hanging="360"/>
      </w:pPr>
      <w:rPr>
        <w:rFonts w:ascii="Symbol" w:hAnsi="Symbol"/>
      </w:rPr>
    </w:lvl>
    <w:lvl w:ilvl="4" w:tplc="D75453D2">
      <w:start w:val="1"/>
      <w:numFmt w:val="bullet"/>
      <w:lvlText w:val="o"/>
      <w:lvlJc w:val="left"/>
      <w:pPr>
        <w:tabs>
          <w:tab w:val="num" w:pos="3600"/>
        </w:tabs>
        <w:ind w:left="3600" w:hanging="360"/>
      </w:pPr>
      <w:rPr>
        <w:rFonts w:ascii="Courier New" w:hAnsi="Courier New"/>
      </w:rPr>
    </w:lvl>
    <w:lvl w:ilvl="5" w:tplc="2BB04924">
      <w:start w:val="1"/>
      <w:numFmt w:val="bullet"/>
      <w:lvlText w:val=""/>
      <w:lvlJc w:val="left"/>
      <w:pPr>
        <w:tabs>
          <w:tab w:val="num" w:pos="4320"/>
        </w:tabs>
        <w:ind w:left="4320" w:hanging="360"/>
      </w:pPr>
      <w:rPr>
        <w:rFonts w:ascii="Wingdings" w:hAnsi="Wingdings"/>
      </w:rPr>
    </w:lvl>
    <w:lvl w:ilvl="6" w:tplc="38720008">
      <w:start w:val="1"/>
      <w:numFmt w:val="bullet"/>
      <w:lvlText w:val=""/>
      <w:lvlJc w:val="left"/>
      <w:pPr>
        <w:tabs>
          <w:tab w:val="num" w:pos="5040"/>
        </w:tabs>
        <w:ind w:left="5040" w:hanging="360"/>
      </w:pPr>
      <w:rPr>
        <w:rFonts w:ascii="Symbol" w:hAnsi="Symbol"/>
      </w:rPr>
    </w:lvl>
    <w:lvl w:ilvl="7" w:tplc="A9768772">
      <w:start w:val="1"/>
      <w:numFmt w:val="bullet"/>
      <w:lvlText w:val="o"/>
      <w:lvlJc w:val="left"/>
      <w:pPr>
        <w:tabs>
          <w:tab w:val="num" w:pos="5760"/>
        </w:tabs>
        <w:ind w:left="5760" w:hanging="360"/>
      </w:pPr>
      <w:rPr>
        <w:rFonts w:ascii="Courier New" w:hAnsi="Courier New"/>
      </w:rPr>
    </w:lvl>
    <w:lvl w:ilvl="8" w:tplc="917833B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52"/>
    <w:rsid w:val="003A1812"/>
    <w:rsid w:val="00400262"/>
    <w:rsid w:val="00662733"/>
    <w:rsid w:val="00BC0F4C"/>
    <w:rsid w:val="00CD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1AFA"/>
  <w15:chartTrackingRefBased/>
  <w15:docId w15:val="{C388459F-83FB-4132-9970-5D2C3532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7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73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Holland</dc:creator>
  <cp:keywords/>
  <dc:description/>
  <cp:lastModifiedBy>Catherine Holland</cp:lastModifiedBy>
  <cp:revision>4</cp:revision>
  <dcterms:created xsi:type="dcterms:W3CDTF">2018-08-30T16:33:00Z</dcterms:created>
  <dcterms:modified xsi:type="dcterms:W3CDTF">2018-08-30T16:36:00Z</dcterms:modified>
</cp:coreProperties>
</file>